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AA49" w14:textId="77777777" w:rsidR="00074AC5" w:rsidRPr="00F22385" w:rsidRDefault="00673AF8">
      <w:pPr>
        <w:pStyle w:val="Titre1"/>
        <w:keepNext w:val="0"/>
        <w:keepLines w:val="0"/>
        <w:shd w:val="clear" w:color="auto" w:fill="FFFFFF"/>
        <w:spacing w:before="0" w:after="240" w:line="306" w:lineRule="auto"/>
        <w:rPr>
          <w:rFonts w:ascii="Helvetica Neue" w:eastAsia="Helvetica Neue" w:hAnsi="Helvetica Neue" w:cs="Helvetica Neue"/>
          <w:color w:val="1AA3DD"/>
          <w:sz w:val="61"/>
          <w:szCs w:val="61"/>
        </w:rPr>
      </w:pPr>
      <w:bookmarkStart w:id="0" w:name="_wci1ryeomlif"/>
      <w:bookmarkEnd w:id="0"/>
      <w:r w:rsidRPr="00F22385">
        <w:rPr>
          <w:rFonts w:ascii="Helvetica Neue" w:hAnsi="Helvetica Neue"/>
          <w:color w:val="1AA3DD"/>
          <w:sz w:val="61"/>
          <w:szCs w:val="36"/>
        </w:rPr>
        <w:t>Engagement de Mitacs concernant les renseignements confidentiels des participantes et participants aux programmes</w:t>
      </w:r>
    </w:p>
    <w:p w14:paraId="7BC15D27"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Mitacs s’engage à protéger et à gérer de façon appropriée les renseignements confidentiels qui nous sont fournis par les personnes qui participent ou prévoient participer à nos programmes. Cet engagement concernant les renseignements confidentiels vous informe sur les méthodes que nous employons pour assurer le traitement sécuritaire de vos renseignements confidentiels. </w:t>
      </w:r>
    </w:p>
    <w:p w14:paraId="441F8892"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VEUILLEZ NOTER que nous traitons </w:t>
      </w:r>
      <w:r>
        <w:rPr>
          <w:rFonts w:ascii="Helvetica Neue" w:hAnsi="Helvetica Neue"/>
          <w:b/>
          <w:bCs/>
          <w:sz w:val="23"/>
        </w:rPr>
        <w:t>chaque</w:t>
      </w:r>
      <w:r>
        <w:rPr>
          <w:rFonts w:ascii="Helvetica Neue" w:hAnsi="Helvetica Neue"/>
          <w:sz w:val="23"/>
        </w:rPr>
        <w:t xml:space="preserve"> demande à nos programmes avec discrétion et que les membres du personnel ne peuvent partager les renseignements dans les demandes, sauf pour les renseignements spécifiés comme étant publics dans le modèle de demande, avec peu d’exceptions (comme fournir des renseignements à nos bailleurs de fonds gouvernementaux). Il s’agit du cadre normal de nos affaires. De plus, nous nous assurons que les évaluatrices et évaluateurs tiers acceptent de protéger la confidentialité des renseignements de toute demande</w:t>
      </w:r>
      <w:r>
        <w:rPr>
          <w:rFonts w:ascii="Helvetica Neue" w:hAnsi="Helvetica Neue"/>
          <w:sz w:val="23"/>
        </w:rPr>
        <w:t xml:space="preserve"> avant de leur donner accès à la demande.  </w:t>
      </w:r>
    </w:p>
    <w:p w14:paraId="08C715FE"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Bien entendu, les candidates, candidats et signataires ont tous accès aux renseignements inscrits sur la demande, et Mitacs ne peut pas contrôler ce que ces personnes font avec les renseignements après avoir soumis la demande à Mitacs. </w:t>
      </w:r>
    </w:p>
    <w:p w14:paraId="58A379A7" w14:textId="7ECD5C86"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Les situations où un·e candidat·e nous fournit des renseignements qui ont une valeur spéciale à cause de leur nature confidentielle (souvent identifiés comme renseignements commerciaux de nature exclusive ou secrets industriels) </w:t>
      </w:r>
      <w:r w:rsidR="00F00D5F">
        <w:rPr>
          <w:rFonts w:ascii="Helvetica Neue" w:hAnsi="Helvetica Neue"/>
          <w:sz w:val="23"/>
        </w:rPr>
        <w:t>requièrent un traitement spécial</w:t>
      </w:r>
      <w:r w:rsidR="00E13A3B">
        <w:rPr>
          <w:rFonts w:ascii="Helvetica Neue" w:hAnsi="Helvetica Neue"/>
          <w:sz w:val="23"/>
        </w:rPr>
        <w:t>.</w:t>
      </w:r>
      <w:r>
        <w:rPr>
          <w:rFonts w:ascii="Helvetica Neue" w:hAnsi="Helvetica Neue"/>
          <w:sz w:val="23"/>
        </w:rPr>
        <w:t xml:space="preserve"> </w:t>
      </w:r>
      <w:r w:rsidR="00F00D5F">
        <w:rPr>
          <w:rFonts w:ascii="Helvetica Neue" w:hAnsi="Helvetica Neue"/>
          <w:sz w:val="23"/>
        </w:rPr>
        <w:t>D</w:t>
      </w:r>
      <w:r>
        <w:rPr>
          <w:rFonts w:ascii="Helvetica Neue" w:hAnsi="Helvetica Neue"/>
          <w:sz w:val="23"/>
        </w:rPr>
        <w:t xml:space="preserve">ans ces circonstances, </w:t>
      </w:r>
      <w:r w:rsidRPr="00673AF8">
        <w:rPr>
          <w:rFonts w:ascii="Helvetica Neue" w:hAnsi="Helvetica Neue"/>
          <w:sz w:val="23"/>
        </w:rPr>
        <w:t>Mitacs doit exercer un niveau plus élevé de précautions et de contrôle des renseignements</w:t>
      </w:r>
      <w:r>
        <w:rPr>
          <w:rFonts w:ascii="Helvetica Neue" w:hAnsi="Helvetica Neue"/>
          <w:sz w:val="23"/>
        </w:rPr>
        <w:t xml:space="preserve">. Cet Engagement définit les renseignements confidentiels et décrit comment Mitacs gère de tels renseignements. </w:t>
      </w:r>
    </w:p>
    <w:p w14:paraId="127EE758" w14:textId="77777777" w:rsidR="00074AC5" w:rsidRDefault="00673AF8">
      <w:pPr>
        <w:pStyle w:val="Titre3"/>
        <w:keepNext w:val="0"/>
        <w:keepLines w:val="0"/>
        <w:shd w:val="clear" w:color="auto" w:fill="FFFFFF"/>
        <w:spacing w:before="0" w:after="0" w:line="306" w:lineRule="auto"/>
        <w:rPr>
          <w:rFonts w:ascii="Helvetica Neue" w:eastAsia="Helvetica Neue" w:hAnsi="Helvetica Neue" w:cs="Helvetica Neue"/>
          <w:color w:val="000000"/>
          <w:sz w:val="30"/>
          <w:szCs w:val="30"/>
        </w:rPr>
      </w:pPr>
      <w:bookmarkStart w:id="1" w:name="_olwjj5wfccxc"/>
      <w:bookmarkEnd w:id="1"/>
      <w:r>
        <w:rPr>
          <w:rFonts w:ascii="Helvetica Neue" w:hAnsi="Helvetica Neue"/>
          <w:color w:val="000000"/>
          <w:sz w:val="30"/>
        </w:rPr>
        <w:t>1. Que sont des renseignements confidentiels?</w:t>
      </w:r>
    </w:p>
    <w:p w14:paraId="297DCF1F"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b/>
          <w:bCs/>
          <w:sz w:val="23"/>
        </w:rPr>
        <w:lastRenderedPageBreak/>
        <w:t>Renseignements confident</w:t>
      </w:r>
      <w:r>
        <w:rPr>
          <w:rFonts w:ascii="Helvetica Neue" w:hAnsi="Helvetica Neue"/>
          <w:b/>
          <w:bCs/>
          <w:sz w:val="23"/>
        </w:rPr>
        <w:t>iel</w:t>
      </w:r>
      <w:r>
        <w:rPr>
          <w:rFonts w:ascii="Helvetica Neue" w:hAnsi="Helvetica Neue"/>
          <w:b/>
          <w:bCs/>
          <w:sz w:val="23"/>
        </w:rPr>
        <w:t>s</w:t>
      </w:r>
      <w:r>
        <w:rPr>
          <w:rFonts w:ascii="Helvetica Neue" w:hAnsi="Helvetica Neue"/>
          <w:sz w:val="23"/>
        </w:rPr>
        <w:t xml:space="preserve"> s’entend généralement de tout renseignement, peu importe son format ou support, par rapport à l’entreprise et à la gestion de votre entreprise ou organisation, qui inclut les renseignements commerciaux de nature exclusive ou secrets industriels et documents comptables, comme des produits, processus, technologies, logiciels, renseignements sur les activités commerciales, listes de clients, données techniques et d’ingénierie, concepts techniques, données et résultats de tests, statuts et détails de la re</w:t>
      </w:r>
      <w:r>
        <w:rPr>
          <w:rFonts w:ascii="Helvetica Neue" w:hAnsi="Helvetica Neue"/>
          <w:sz w:val="23"/>
        </w:rPr>
        <w:t xml:space="preserve">cherche et du développement de produits et de services et de l’information par rapport à l’acquisition, la protection, le respect et les licences et droits de propriété (incluant les brevets et les droits d’auteurs, </w:t>
      </w:r>
      <w:r>
        <w:rPr>
          <w:rFonts w:ascii="Helvetica Neue" w:hAnsi="Helvetica Neue"/>
          <w:b/>
          <w:bCs/>
          <w:sz w:val="23"/>
        </w:rPr>
        <w:t>qui sont identifiés à Mitacs comme étant confidentiels.</w:t>
      </w:r>
      <w:r>
        <w:rPr>
          <w:rFonts w:ascii="Helvetica Neue" w:hAnsi="Helvetica Neue"/>
          <w:sz w:val="23"/>
        </w:rPr>
        <w:t xml:space="preserve"> Veuillez noter qu’il s’agit ici d’une définition générale; une entente de confidentialité, qui doit être signée avant que Mitacs prenne possession des renseignements confidentiels contiendra une définition qui aura préséance sur la définiti</w:t>
      </w:r>
      <w:r>
        <w:rPr>
          <w:rFonts w:ascii="Helvetica Neue" w:hAnsi="Helvetica Neue"/>
          <w:sz w:val="23"/>
        </w:rPr>
        <w:t xml:space="preserve">on de cette politique. </w:t>
      </w:r>
    </w:p>
    <w:p w14:paraId="5A7F9BEC"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Les renseignements confidentiels excluront toute information :</w:t>
      </w:r>
    </w:p>
    <w:p w14:paraId="6C8D8765" w14:textId="77777777" w:rsidR="00074AC5" w:rsidRDefault="00673AF8">
      <w:pPr>
        <w:numPr>
          <w:ilvl w:val="0"/>
          <w:numId w:val="2"/>
        </w:numPr>
        <w:ind w:left="1020"/>
      </w:pPr>
      <w:r>
        <w:rPr>
          <w:rFonts w:ascii="Helvetica Neue" w:hAnsi="Helvetica Neue"/>
          <w:sz w:val="23"/>
        </w:rPr>
        <w:t>qui est généralement connue du secteur industriel;</w:t>
      </w:r>
    </w:p>
    <w:p w14:paraId="0C9025A8" w14:textId="77777777" w:rsidR="00074AC5" w:rsidRDefault="00673AF8">
      <w:pPr>
        <w:numPr>
          <w:ilvl w:val="0"/>
          <w:numId w:val="2"/>
        </w:numPr>
        <w:ind w:left="1020"/>
      </w:pPr>
      <w:r>
        <w:rPr>
          <w:rFonts w:ascii="Helvetica Neue" w:hAnsi="Helvetica Neue"/>
          <w:sz w:val="23"/>
        </w:rPr>
        <w:t>qui est d’ores et déjà ou deviendra par la suite généralement disponible au public sans acte ou omission préjudiciable de Mitacs;</w:t>
      </w:r>
    </w:p>
    <w:p w14:paraId="11014A2B" w14:textId="77777777" w:rsidR="00074AC5" w:rsidRDefault="00673AF8">
      <w:pPr>
        <w:numPr>
          <w:ilvl w:val="0"/>
          <w:numId w:val="2"/>
        </w:numPr>
        <w:ind w:left="1020"/>
      </w:pPr>
      <w:r>
        <w:rPr>
          <w:rFonts w:ascii="Helvetica Neue" w:hAnsi="Helvetica Neue"/>
          <w:sz w:val="23"/>
        </w:rPr>
        <w:t>que Mitacs avait en sa possession légitime avant de recevoir les renseignements confidentiels;</w:t>
      </w:r>
    </w:p>
    <w:p w14:paraId="79870692" w14:textId="77777777" w:rsidR="00074AC5" w:rsidRDefault="00673AF8">
      <w:pPr>
        <w:numPr>
          <w:ilvl w:val="0"/>
          <w:numId w:val="2"/>
        </w:numPr>
        <w:spacing w:after="220"/>
        <w:ind w:left="1020"/>
      </w:pPr>
      <w:r>
        <w:rPr>
          <w:rFonts w:ascii="Helvetica Neue" w:hAnsi="Helvetica Neue"/>
          <w:sz w:val="23"/>
        </w:rPr>
        <w:t xml:space="preserve">que Mitacs obtient légitimement d’une tierce partie qui a le droit de la transférer ou de la dévoiler. </w:t>
      </w:r>
    </w:p>
    <w:p w14:paraId="4C13FCA9" w14:textId="77777777" w:rsidR="00074AC5" w:rsidRDefault="00673AF8">
      <w:pPr>
        <w:pStyle w:val="Titre3"/>
        <w:keepNext w:val="0"/>
        <w:keepLines w:val="0"/>
        <w:shd w:val="clear" w:color="auto" w:fill="FFFFFF"/>
        <w:spacing w:before="0" w:after="0" w:line="306" w:lineRule="auto"/>
        <w:rPr>
          <w:rFonts w:ascii="Helvetica Neue" w:eastAsia="Helvetica Neue" w:hAnsi="Helvetica Neue" w:cs="Helvetica Neue"/>
          <w:color w:val="000000"/>
          <w:sz w:val="30"/>
          <w:szCs w:val="30"/>
        </w:rPr>
      </w:pPr>
      <w:bookmarkStart w:id="2" w:name="_rxorg59we9i"/>
      <w:bookmarkEnd w:id="2"/>
      <w:r>
        <w:rPr>
          <w:rFonts w:ascii="Helvetica Neue" w:hAnsi="Helvetica Neue"/>
          <w:color w:val="000000"/>
          <w:sz w:val="30"/>
        </w:rPr>
        <w:t>2. Dans quelles circonstances Mitacs accepte-t-il des renseignements confidentiels?</w:t>
      </w:r>
    </w:p>
    <w:p w14:paraId="35D0AF58"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Mitacs ne prend la protection des renseignements confidentiels au sérieux et limite donc les situations où nous accepterons ou aurons accès aux renseignements confidentiels. Aucun de nos systèmes n’est actuellement certifié pour la sécurité (p. ex., conforme à PCI ou à ISO27001), nous réduisons donc le risque le plus possible en limitant les renseignements confidentiels dans nos systèmes. </w:t>
      </w:r>
    </w:p>
    <w:p w14:paraId="21E3958B"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Dans les circonstances suivantes, nous pouvons accepter ou obtenir l’accès à des renseignements confidentiels (à certaines conditions, notamment la signature d’une entente de non-divulgation appropriée, qui sont présentées ici et dans les sections suivantes) : </w:t>
      </w:r>
    </w:p>
    <w:p w14:paraId="32ECAF6B" w14:textId="77777777" w:rsidR="00074AC5" w:rsidRDefault="00673AF8">
      <w:pPr>
        <w:numPr>
          <w:ilvl w:val="0"/>
          <w:numId w:val="1"/>
        </w:numPr>
        <w:ind w:left="1020"/>
      </w:pPr>
      <w:r>
        <w:rPr>
          <w:rFonts w:ascii="Helvetica Neue" w:hAnsi="Helvetica Neue"/>
          <w:sz w:val="23"/>
        </w:rPr>
        <w:t xml:space="preserve">Pendant les discussions avec les organisations afin de déterminer la faisabilité d’un projet Mitacs et pour permettre d’identifier des participant·es potentiel·les </w:t>
      </w:r>
      <w:r>
        <w:rPr>
          <w:rFonts w:ascii="Helvetica Neue" w:hAnsi="Helvetica Neue"/>
          <w:sz w:val="23"/>
        </w:rPr>
        <w:lastRenderedPageBreak/>
        <w:t>au projet, nous pouvons obtenir accès à des versions électroniques de renseignements confidentiels. Les renseignements confidentiels doivent être identifiés comme tels. Toute copie papier de renseignements confidentiels doit être fournie au personnel de Mitacs sur place à votre organisation et repris lorsque le personnel quitte vos locaux. Une entente de non-divulgation doit être signée avant que le personnel ait accès aux renseignements confidentiels.</w:t>
      </w:r>
    </w:p>
    <w:p w14:paraId="3D125F02" w14:textId="77777777" w:rsidR="00074AC5" w:rsidRDefault="00673AF8">
      <w:pPr>
        <w:numPr>
          <w:ilvl w:val="0"/>
          <w:numId w:val="1"/>
        </w:numPr>
        <w:spacing w:after="220"/>
        <w:ind w:left="1020"/>
      </w:pPr>
      <w:r>
        <w:rPr>
          <w:rFonts w:ascii="Helvetica Neue" w:hAnsi="Helvetica Neue"/>
          <w:sz w:val="23"/>
        </w:rPr>
        <w:t>En général, nous n’acceptons pas les renseignements confidentiels dans les demandes aux programmes. Les demandes doivent être soumises à des évaluatrices et évaluateurs tiers et les renseignements sont aussi consultés par le bureau des services de recherche de l’université ou son équivalent et l’ensemble des professeur·es, étudiant·es et entreprises participant au projet ainsi que potentiellement par du personnel de soutien. Elles ne devraient donc contenir aucun renseignement confidentiel. Toutefois, lorsq</w:t>
      </w:r>
      <w:r>
        <w:rPr>
          <w:rFonts w:ascii="Helvetica Neue" w:hAnsi="Helvetica Neue"/>
          <w:sz w:val="23"/>
        </w:rPr>
        <w:t>ue le fait que votre organisation travaille sur le projet ne doit pas être divulgué publiquement ou ne doit pas être révélé à des évaluatrices et évaluateurs tiers, nous pouvons retirer le nom de l’entreprise de la demande avant sa transmission à l’évaluation par les tiers et nous assurer de ne pas inclure cette information notre site Web. (Veuillez prendre note que nous sommes généralement tenus d’inclure les noms des entreprises dans les rapports à nos bailleurs de fonds gouvernementaux, qui peuvent les r</w:t>
      </w:r>
      <w:r>
        <w:rPr>
          <w:rFonts w:ascii="Helvetica Neue" w:hAnsi="Helvetica Neue"/>
          <w:sz w:val="23"/>
        </w:rPr>
        <w:t xml:space="preserve">endre publiques.) </w:t>
      </w:r>
    </w:p>
    <w:p w14:paraId="04D39FFB"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Toute exception à ces circonstances doit être négociée entre votre organisation et Mitacs. Les exceptions ne seront prises en considération que lorsque le projet ou partenariat est considéré comme ayant une valeur stratégique importante pour Mitacs. Selon les circonstances, les exceptions peuvent exiger la mise en œuvre de nouvelles procédures ou mécanismes, ce qui peut retarder les soumissions de demandes ou leur examen et leur approbation. </w:t>
      </w:r>
    </w:p>
    <w:p w14:paraId="45AD01E7" w14:textId="77777777" w:rsidR="00074AC5" w:rsidRDefault="00673AF8">
      <w:pPr>
        <w:pStyle w:val="Titre3"/>
        <w:keepNext w:val="0"/>
        <w:keepLines w:val="0"/>
        <w:shd w:val="clear" w:color="auto" w:fill="FFFFFF"/>
        <w:spacing w:before="0" w:after="0" w:line="306" w:lineRule="auto"/>
        <w:rPr>
          <w:rFonts w:ascii="Helvetica Neue" w:eastAsia="Helvetica Neue" w:hAnsi="Helvetica Neue" w:cs="Helvetica Neue"/>
          <w:color w:val="000000"/>
          <w:sz w:val="30"/>
          <w:szCs w:val="30"/>
        </w:rPr>
      </w:pPr>
      <w:bookmarkStart w:id="3" w:name="_ub15n893zg7x"/>
      <w:bookmarkEnd w:id="3"/>
      <w:r>
        <w:rPr>
          <w:rFonts w:ascii="Helvetica Neue" w:hAnsi="Helvetica Neue"/>
          <w:color w:val="000000"/>
          <w:sz w:val="30"/>
        </w:rPr>
        <w:t xml:space="preserve">3. </w:t>
      </w:r>
      <w:r>
        <w:rPr>
          <w:rFonts w:ascii="Helvetica Neue" w:hAnsi="Helvetica Neue"/>
          <w:color w:val="000000"/>
          <w:sz w:val="30"/>
        </w:rPr>
        <w:t>Pourquoi est-il important pour nous d’avoir une entente de non-divulgation?</w:t>
      </w:r>
    </w:p>
    <w:p w14:paraId="192ECAB8"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Les renseignements confidentiels peuvent avoir une valeur importante. Il est donc très important qu’il y ait une compréhension mutuelle de la façon dont ces renseignements seront manipulés lorsqu’ils seront fournis à Mitacs. Les candidates et candidats doivent avoir la certitude que nous traitons l’information avec diligence, mais elles et ils doivent aussi comprendre que nous partageons des renseignements des demandes avec des examinateurs pairs et des bailleurs de fonds et que nous ne sommes pas responsab</w:t>
      </w:r>
      <w:r>
        <w:rPr>
          <w:rFonts w:ascii="Helvetica Neue" w:hAnsi="Helvetica Neue"/>
          <w:sz w:val="23"/>
        </w:rPr>
        <w:t xml:space="preserve">les des renseignements qui circulent entre l’établissement d’enseignement postsecondaire et d’autres personnes participant au projet. De même, les candidates et candidats doivent </w:t>
      </w:r>
      <w:r>
        <w:rPr>
          <w:rFonts w:ascii="Helvetica Neue" w:hAnsi="Helvetica Neue"/>
          <w:sz w:val="23"/>
        </w:rPr>
        <w:lastRenderedPageBreak/>
        <w:t xml:space="preserve">comprendre que le système de sécurité de Mitacs est approprié pour nous : un OSBL qui a le rôle de réunir les entreprises et les établissements d’enseignement postsecondaire; nous ne possédons aucun renseignement commercial de nature exclusive ni aucun secret industriel de grande valeur à protéger. Les responsabilités de Mitacs et </w:t>
      </w:r>
      <w:r>
        <w:rPr>
          <w:rFonts w:ascii="Helvetica Neue" w:hAnsi="Helvetica Neue"/>
          <w:sz w:val="23"/>
        </w:rPr>
        <w:t>du fournisseur de renseignements confidentiels doivent être documentées et acceptées par les deux parties et une entente de confidentialité (ou une entente par rapport à des renseignements commerciaux de nature exclusive) accomplira ceci. (Mitacs possède un modèle d’entente de confidentialité qui peut être utilisé.) Toute entente de confidentialité doit être examinée par les personnes appropriées de Mitacs avant d’être signée, conformément à notre processus de diligence; la négociation des conditions de l’e</w:t>
      </w:r>
      <w:r>
        <w:rPr>
          <w:rFonts w:ascii="Helvetica Neue" w:hAnsi="Helvetica Neue"/>
          <w:sz w:val="23"/>
        </w:rPr>
        <w:t xml:space="preserve">ntente peut être nécessaire. </w:t>
      </w:r>
    </w:p>
    <w:p w14:paraId="3323B97B" w14:textId="77777777" w:rsidR="00074AC5" w:rsidRDefault="00673AF8">
      <w:pPr>
        <w:pStyle w:val="Titre3"/>
        <w:keepNext w:val="0"/>
        <w:keepLines w:val="0"/>
        <w:shd w:val="clear" w:color="auto" w:fill="FFFFFF"/>
        <w:spacing w:before="0" w:after="0" w:line="306" w:lineRule="auto"/>
        <w:rPr>
          <w:rFonts w:ascii="Helvetica Neue" w:eastAsia="Helvetica Neue" w:hAnsi="Helvetica Neue" w:cs="Helvetica Neue"/>
          <w:color w:val="000000"/>
          <w:sz w:val="30"/>
          <w:szCs w:val="30"/>
        </w:rPr>
      </w:pPr>
      <w:bookmarkStart w:id="4" w:name="_tncj32y6uf5e"/>
      <w:bookmarkEnd w:id="4"/>
      <w:r>
        <w:rPr>
          <w:rFonts w:ascii="Helvetica Neue" w:hAnsi="Helvetica Neue"/>
          <w:color w:val="000000"/>
          <w:sz w:val="30"/>
        </w:rPr>
        <w:t>4. Comment Mitacs gère-t-il et protège-t-il les renseignements confidentiels?</w:t>
      </w:r>
    </w:p>
    <w:p w14:paraId="7C8F65D8"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Chez Mitacs, nous assumons la responsabilité des renseignements confidentiels qui sont en notre possession. </w:t>
      </w:r>
    </w:p>
    <w:p w14:paraId="2442F838"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 xml:space="preserve">Notre chef de la protection des renseignements personnels est responsable de notre conformité à l’Engagement concernant les renseignements confidentiels et nos politiques de confidentialité. Le chef de la protection des renseignements personnels peut déléguer la responsabilité quotidienne de la gestion de la politique à la directrice, Risque et conformité. </w:t>
      </w:r>
    </w:p>
    <w:p w14:paraId="383953C9" w14:textId="77777777" w:rsidR="00074AC5" w:rsidRDefault="00673AF8">
      <w:pPr>
        <w:shd w:val="clear" w:color="auto" w:fill="FFFFFF"/>
        <w:spacing w:after="220"/>
        <w:rPr>
          <w:rFonts w:ascii="Helvetica Neue" w:eastAsia="Helvetica Neue" w:hAnsi="Helvetica Neue" w:cs="Helvetica Neue"/>
          <w:sz w:val="23"/>
          <w:szCs w:val="23"/>
        </w:rPr>
      </w:pPr>
      <w:r>
        <w:rPr>
          <w:rFonts w:ascii="Helvetica Neue" w:hAnsi="Helvetica Neue"/>
          <w:sz w:val="23"/>
        </w:rPr>
        <w:t>Tout membre du personnel à qui des renseignements confidentiels sont transmis est responsable de manipuler et de gérer les renseignements conformément à cet Engagement, à nos politiques de confidentialité et à toute entente de confidentialité régissant la fourniture des renseignements. Les renseignements confidentiels sont conservés de façon à ce que seules les personnes dont le travail l’exige y aient accès.</w:t>
      </w:r>
    </w:p>
    <w:p w14:paraId="0A501EE3" w14:textId="77777777" w:rsidR="00074AC5" w:rsidRDefault="00673AF8">
      <w:pPr>
        <w:shd w:val="clear" w:color="auto" w:fill="FFFFFF"/>
        <w:spacing w:after="220"/>
        <w:jc w:val="center"/>
        <w:rPr>
          <w:rFonts w:ascii="Helvetica Neue" w:eastAsia="Helvetica Neue" w:hAnsi="Helvetica Neue" w:cs="Helvetica Neue"/>
          <w:sz w:val="23"/>
          <w:szCs w:val="23"/>
        </w:rPr>
      </w:pPr>
      <w:r>
        <w:rPr>
          <w:rFonts w:ascii="Helvetica Neue" w:hAnsi="Helvetica Neue"/>
          <w:noProof/>
          <w:sz w:val="23"/>
        </w:rPr>
        <w:drawing>
          <wp:inline distT="114300" distB="114300" distL="114300" distR="114300" wp14:anchorId="0DD39C08" wp14:editId="0A15A844">
            <wp:extent cx="5943600" cy="533400"/>
            <wp:effectExtent l="0" t="0" r="0" b="0"/>
            <wp:docPr id="1" name="image1.png" descr="Government logos"/>
            <wp:cNvGraphicFramePr/>
            <a:graphic xmlns:a="http://schemas.openxmlformats.org/drawingml/2006/main">
              <a:graphicData uri="http://schemas.openxmlformats.org/drawingml/2006/picture">
                <pic:pic xmlns:pic="http://schemas.openxmlformats.org/drawingml/2006/picture">
                  <pic:nvPicPr>
                    <pic:cNvPr id="0" name="image1.png" descr="Government logos"/>
                    <pic:cNvPicPr preferRelativeResize="0"/>
                  </pic:nvPicPr>
                  <pic:blipFill>
                    <a:blip r:embed="rId5"/>
                    <a:srcRect/>
                    <a:stretch>
                      <a:fillRect/>
                    </a:stretch>
                  </pic:blipFill>
                  <pic:spPr>
                    <a:xfrm>
                      <a:off x="0" y="0"/>
                      <a:ext cx="5943600" cy="533400"/>
                    </a:xfrm>
                    <a:prstGeom prst="rect">
                      <a:avLst/>
                    </a:prstGeom>
                    <a:ln/>
                  </pic:spPr>
                </pic:pic>
              </a:graphicData>
            </a:graphic>
          </wp:inline>
        </w:drawing>
      </w:r>
    </w:p>
    <w:p w14:paraId="3EBDAE46" w14:textId="77777777" w:rsidR="00074AC5" w:rsidRDefault="00074AC5"/>
    <w:sectPr w:rsidR="00074A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D3"/>
    <w:multiLevelType w:val="multilevel"/>
    <w:tmpl w:val="F1D8A308"/>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704C8"/>
    <w:multiLevelType w:val="multilevel"/>
    <w:tmpl w:val="475C0A1C"/>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7850146">
    <w:abstractNumId w:val="1"/>
  </w:num>
  <w:num w:numId="2" w16cid:durableId="103495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9B2C30-05BF-45DC-B818-FA90A487E545}"/>
    <w:docVar w:name="dgnword-eventsink" w:val="1814521681424"/>
  </w:docVars>
  <w:rsids>
    <w:rsidRoot w:val="00074AC5"/>
    <w:rsid w:val="00074AC5"/>
    <w:rsid w:val="00337832"/>
    <w:rsid w:val="00411C9D"/>
    <w:rsid w:val="00673AF8"/>
    <w:rsid w:val="00E13A3B"/>
    <w:rsid w:val="00F00D5F"/>
    <w:rsid w:val="00F223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22CC"/>
  <w15:docId w15:val="{ABFB3311-1399-434C-BD2F-097AE214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ADCBBCA8A924F8AA2D760858F6A8E" ma:contentTypeVersion="19" ma:contentTypeDescription="Create a new document." ma:contentTypeScope="" ma:versionID="abcb06276e7a357464a680c8cc229fd6">
  <xsd:schema xmlns:xsd="http://www.w3.org/2001/XMLSchema" xmlns:xs="http://www.w3.org/2001/XMLSchema" xmlns:p="http://schemas.microsoft.com/office/2006/metadata/properties" xmlns:ns2="556aaa2c-5e31-4f32-bdbc-e9233393b0b6" xmlns:ns3="1eabf524-bf56-493c-9846-11497f2ca325" xmlns:ns4="http://schemas.microsoft.com/sharepoint/v3/fields" targetNamespace="http://schemas.microsoft.com/office/2006/metadata/properties" ma:root="true" ma:fieldsID="7ee0ee71e5d022fe6f656d1a83b28a78" ns2:_="" ns3:_="" ns4:_="">
    <xsd:import namespace="556aaa2c-5e31-4f32-bdbc-e9233393b0b6"/>
    <xsd:import namespace="1eabf524-bf56-493c-9846-11497f2ca32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_DCDateCreated"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aa2c-5e31-4f32-bdbc-e9233393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bf524-bf56-493c-9846-11497f2ca3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a64cae-cdc1-4b40-8f8d-41f6cca42b12}" ma:internalName="TaxCatchAll" ma:showField="CatchAllData" ma:web="1eabf524-bf56-493c-9846-11497f2c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abf524-bf56-493c-9846-11497f2ca325" xsi:nil="true"/>
    <lcf76f155ced4ddcb4097134ff3c332f xmlns="556aaa2c-5e31-4f32-bdbc-e9233393b0b6">
      <Terms xmlns="http://schemas.microsoft.com/office/infopath/2007/PartnerControls"/>
    </lcf76f155ced4ddcb4097134ff3c332f>
    <_Flow_SignoffStatus xmlns="556aaa2c-5e31-4f32-bdbc-e9233393b0b6" xsi:nil="true"/>
    <_DCDateCreated xmlns="http://schemas.microsoft.com/sharepoint/v3/fields" xsi:nil="true"/>
  </documentManagement>
</p:properties>
</file>

<file path=customXml/itemProps1.xml><?xml version="1.0" encoding="utf-8"?>
<ds:datastoreItem xmlns:ds="http://schemas.openxmlformats.org/officeDocument/2006/customXml" ds:itemID="{E9B30AEB-7CE2-4A44-8BA7-D26F5A0C4287}"/>
</file>

<file path=customXml/itemProps2.xml><?xml version="1.0" encoding="utf-8"?>
<ds:datastoreItem xmlns:ds="http://schemas.openxmlformats.org/officeDocument/2006/customXml" ds:itemID="{E949AA6F-1ED6-4BE7-A52A-A40DF463D2D8}"/>
</file>

<file path=customXml/itemProps3.xml><?xml version="1.0" encoding="utf-8"?>
<ds:datastoreItem xmlns:ds="http://schemas.openxmlformats.org/officeDocument/2006/customXml" ds:itemID="{39C38F65-EFAF-4C90-A390-270D42415FA8}"/>
</file>

<file path=docProps/app.xml><?xml version="1.0" encoding="utf-8"?>
<Properties xmlns="http://schemas.openxmlformats.org/officeDocument/2006/extended-properties" xmlns:vt="http://schemas.openxmlformats.org/officeDocument/2006/docPropsVTypes">
  <Template>Normal.dotm</Template>
  <TotalTime>3</TotalTime>
  <Pages>4</Pages>
  <Words>1357</Words>
  <Characters>7465</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Julie-Andrée Marcoux</dc:creator>
  <cp:lastModifiedBy>Julie-Andrée Marcoux</cp:lastModifiedBy>
  <cp:revision>7</cp:revision>
  <dcterms:created xsi:type="dcterms:W3CDTF">2023-11-22T20:21:00Z</dcterms:created>
  <dcterms:modified xsi:type="dcterms:W3CDTF">2023-11-22T20:23:00Z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0x010100C56ADCBBCA8A924F8AA2D760858F6A8E</vt:lpwstr>
  </property>
</Properties>
</file>