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85C7" w14:textId="77777777" w:rsidR="00521ACE" w:rsidRPr="003C6A64" w:rsidRDefault="00296B10">
      <w:pPr>
        <w:pStyle w:val="Heading1"/>
        <w:keepNext w:val="0"/>
        <w:keepLines w:val="0"/>
        <w:spacing w:before="0" w:after="240" w:line="306" w:lineRule="auto"/>
        <w:rPr>
          <w:color w:val="1AA3DD"/>
          <w:sz w:val="56"/>
          <w:szCs w:val="56"/>
        </w:rPr>
      </w:pPr>
      <w:bookmarkStart w:id="0" w:name="_ntcb42pls4bo"/>
      <w:bookmarkEnd w:id="0"/>
      <w:r w:rsidRPr="003C6A64">
        <w:rPr>
          <w:color w:val="1AA3DD"/>
          <w:sz w:val="56"/>
          <w:szCs w:val="36"/>
        </w:rPr>
        <w:t>Politique sur la diversité de Mitacs</w:t>
      </w:r>
    </w:p>
    <w:p w14:paraId="10DCFEEF" w14:textId="77777777" w:rsidR="00521ACE" w:rsidRDefault="00296B10">
      <w:pPr>
        <w:spacing w:after="220"/>
        <w:rPr>
          <w:b/>
          <w:sz w:val="23"/>
          <w:szCs w:val="23"/>
        </w:rPr>
      </w:pPr>
      <w:r>
        <w:rPr>
          <w:b/>
          <w:sz w:val="23"/>
        </w:rPr>
        <w:t>I. OBJECTIF ET SURVOL</w:t>
      </w:r>
    </w:p>
    <w:p w14:paraId="092CCFEC" w14:textId="0E7A2A89" w:rsidR="00521ACE" w:rsidRDefault="00296B10">
      <w:pPr>
        <w:spacing w:after="220"/>
        <w:rPr>
          <w:sz w:val="23"/>
          <w:szCs w:val="23"/>
        </w:rPr>
      </w:pPr>
      <w:r>
        <w:rPr>
          <w:sz w:val="23"/>
        </w:rPr>
        <w:t xml:space="preserve">L’objectif de cette politique est de promouvoir et d’encourager l’inclusivité au sein du conseil d’administration et la diversité de ses membres. </w:t>
      </w:r>
      <w:r w:rsidR="003C6A64" w:rsidRPr="003C6A64">
        <w:rPr>
          <w:sz w:val="23"/>
        </w:rPr>
        <w:t xml:space="preserve">Les organisations dont les conseils d’administration adhèrent aux principes d’inclusion ont une vision plus large qui leur permet d'élaborer des stratégies rigoureuses, d'améliorer le rendement et d'innover en permanence. </w:t>
      </w:r>
      <w:r>
        <w:rPr>
          <w:sz w:val="23"/>
        </w:rPr>
        <w:t>Le conseil d’administration de Mitacs s’engage à établir et à maintenir un groupe de membres inclusif et diversifié. Les domaines de diversité comprennent, sans s’y limiter, la race, l’origine nationale ou ethnique, la couleur de la peau, la religion, l’âge, le sexe, l’orientation sexuelle, l’identité ou l’expression de genre, l’état civil, l’état familial et la capacité.</w:t>
      </w:r>
    </w:p>
    <w:p w14:paraId="173153F3" w14:textId="77777777" w:rsidR="00521ACE" w:rsidRDefault="00296B10">
      <w:pPr>
        <w:spacing w:after="220"/>
        <w:rPr>
          <w:sz w:val="23"/>
          <w:szCs w:val="23"/>
        </w:rPr>
      </w:pPr>
      <w:r>
        <w:rPr>
          <w:sz w:val="23"/>
        </w:rPr>
        <w:t>Le conseil d’administration de Mitacs, qui œuvre au plus haut niveau de leadership, joue un rôle essentiel dans la création d’une organisation qui privilégie et appuie l’équité, la diversité et l’inclusion et investit dans ces principes. L’inclusion et la diversité au sein du conseil d’administration de Mitacs, une organisation novatrice, mènent à une meilleure compréhension des occasions, des enjeux et des risques; permettent un processus décisionnel plus solide; et, enfin, améliorent le rendement et la capacité d’assurer une surveillance stratégique.</w:t>
      </w:r>
    </w:p>
    <w:p w14:paraId="5A6E4221" w14:textId="77777777" w:rsidR="00521ACE" w:rsidRDefault="00296B10">
      <w:pPr>
        <w:spacing w:after="220"/>
        <w:rPr>
          <w:sz w:val="23"/>
          <w:szCs w:val="23"/>
        </w:rPr>
      </w:pPr>
      <w:r>
        <w:rPr>
          <w:sz w:val="23"/>
        </w:rPr>
        <w:t xml:space="preserve">Le conseil d’administration de Mitacs est attaché à une culture d’inclusion et valorise les avantages que la diversité peut apporter à son conseil d’administration. Afin de faire la promotion de l’inclusion de différentes perspectives, opinions et idées, d’atténuer la pensée de groupe et de s’assurer que Mitacs peut tirer profit de tout le talent disponible, le conseil </w:t>
      </w:r>
      <w:proofErr w:type="gramStart"/>
      <w:r>
        <w:rPr>
          <w:sz w:val="23"/>
        </w:rPr>
        <w:t>d’administration</w:t>
      </w:r>
      <w:proofErr w:type="gramEnd"/>
      <w:r>
        <w:rPr>
          <w:sz w:val="23"/>
        </w:rPr>
        <w:t xml:space="preserve"> de Mitacs s’engage à :</w:t>
      </w:r>
    </w:p>
    <w:p w14:paraId="52EBD650" w14:textId="77777777" w:rsidR="00521ACE" w:rsidRDefault="00296B10">
      <w:pPr>
        <w:numPr>
          <w:ilvl w:val="0"/>
          <w:numId w:val="1"/>
        </w:numPr>
        <w:ind w:left="1020"/>
        <w:jc w:val="both"/>
      </w:pPr>
      <w:proofErr w:type="gramStart"/>
      <w:r>
        <w:rPr>
          <w:rFonts w:ascii="Helvetica Neue" w:hAnsi="Helvetica Neue"/>
          <w:sz w:val="23"/>
        </w:rPr>
        <w:t>préserver</w:t>
      </w:r>
      <w:proofErr w:type="gramEnd"/>
      <w:r>
        <w:rPr>
          <w:rFonts w:ascii="Helvetica Neue" w:hAnsi="Helvetica Neue"/>
          <w:sz w:val="23"/>
        </w:rPr>
        <w:t xml:space="preserve"> un conseil composé d’administratrices et d’administrateurs de talent faisant preuve de dévouement, possédant une variété d’expertises et de compétences et provenant de milieux différents;</w:t>
      </w:r>
    </w:p>
    <w:p w14:paraId="3C898B3C" w14:textId="77777777" w:rsidR="00521ACE" w:rsidRDefault="00296B10">
      <w:pPr>
        <w:numPr>
          <w:ilvl w:val="0"/>
          <w:numId w:val="1"/>
        </w:numPr>
        <w:ind w:left="1020"/>
        <w:jc w:val="both"/>
      </w:pPr>
      <w:proofErr w:type="gramStart"/>
      <w:r>
        <w:rPr>
          <w:rFonts w:ascii="Helvetica Neue" w:hAnsi="Helvetica Neue"/>
          <w:sz w:val="23"/>
        </w:rPr>
        <w:t>garantir</w:t>
      </w:r>
      <w:proofErr w:type="gramEnd"/>
      <w:r>
        <w:rPr>
          <w:rFonts w:ascii="Helvetica Neue" w:hAnsi="Helvetica Neue"/>
          <w:sz w:val="23"/>
        </w:rPr>
        <w:t xml:space="preserve"> que des perspectives diverses sont représentées;</w:t>
      </w:r>
    </w:p>
    <w:p w14:paraId="03AF6447" w14:textId="77777777" w:rsidR="00521ACE" w:rsidRDefault="00296B10">
      <w:pPr>
        <w:numPr>
          <w:ilvl w:val="0"/>
          <w:numId w:val="1"/>
        </w:numPr>
        <w:ind w:left="1020"/>
        <w:jc w:val="both"/>
      </w:pPr>
      <w:proofErr w:type="gramStart"/>
      <w:r>
        <w:rPr>
          <w:rFonts w:ascii="Helvetica Neue" w:hAnsi="Helvetica Neue"/>
          <w:sz w:val="23"/>
        </w:rPr>
        <w:t>prévenir</w:t>
      </w:r>
      <w:proofErr w:type="gramEnd"/>
      <w:r>
        <w:rPr>
          <w:rFonts w:ascii="Helvetica Neue" w:hAnsi="Helvetica Neue"/>
          <w:sz w:val="23"/>
        </w:rPr>
        <w:t xml:space="preserve"> la discrimination subtile qui découle des préjugés inconscients;</w:t>
      </w:r>
    </w:p>
    <w:p w14:paraId="7AA6A559" w14:textId="77777777" w:rsidR="00521ACE" w:rsidRDefault="00296B10">
      <w:pPr>
        <w:numPr>
          <w:ilvl w:val="0"/>
          <w:numId w:val="1"/>
        </w:numPr>
        <w:spacing w:after="220"/>
        <w:ind w:left="1020"/>
        <w:jc w:val="both"/>
      </w:pPr>
      <w:proofErr w:type="gramStart"/>
      <w:r>
        <w:rPr>
          <w:rFonts w:ascii="Helvetica Neue" w:hAnsi="Helvetica Neue"/>
          <w:sz w:val="23"/>
        </w:rPr>
        <w:t>assurer</w:t>
      </w:r>
      <w:proofErr w:type="gramEnd"/>
      <w:r>
        <w:rPr>
          <w:rFonts w:ascii="Helvetica Neue" w:hAnsi="Helvetica Neue"/>
          <w:sz w:val="23"/>
        </w:rPr>
        <w:t xml:space="preserve"> la transparence dans le processus de sélection des administrateurs et administratrices.</w:t>
      </w:r>
    </w:p>
    <w:p w14:paraId="662231F4" w14:textId="77777777" w:rsidR="00521ACE" w:rsidRDefault="00296B10">
      <w:pPr>
        <w:spacing w:after="220"/>
        <w:jc w:val="both"/>
        <w:rPr>
          <w:rFonts w:ascii="Helvetica Neue" w:eastAsia="Helvetica Neue" w:hAnsi="Helvetica Neue" w:cs="Helvetica Neue"/>
          <w:sz w:val="23"/>
          <w:szCs w:val="23"/>
        </w:rPr>
      </w:pPr>
      <w:r>
        <w:rPr>
          <w:rFonts w:ascii="Helvetica Neue" w:hAnsi="Helvetica Neue"/>
          <w:sz w:val="23"/>
        </w:rPr>
        <w:t>À des fins de composition du conseil d’administration, la diversité comprend tous ces domaines :</w:t>
      </w:r>
    </w:p>
    <w:p w14:paraId="48E349C3" w14:textId="77777777" w:rsidR="00521ACE" w:rsidRDefault="00296B10">
      <w:pPr>
        <w:numPr>
          <w:ilvl w:val="0"/>
          <w:numId w:val="4"/>
        </w:numPr>
        <w:ind w:left="1020"/>
        <w:jc w:val="both"/>
      </w:pPr>
      <w:proofErr w:type="gramStart"/>
      <w:r>
        <w:rPr>
          <w:rFonts w:ascii="Helvetica Neue" w:hAnsi="Helvetica Neue"/>
          <w:sz w:val="23"/>
        </w:rPr>
        <w:t>expérience</w:t>
      </w:r>
      <w:proofErr w:type="gramEnd"/>
      <w:r>
        <w:rPr>
          <w:rFonts w:ascii="Helvetica Neue" w:hAnsi="Helvetica Neue"/>
          <w:sz w:val="23"/>
        </w:rPr>
        <w:t xml:space="preserve"> dans la représentation ou la compréhension du milieu postsecondaire, les entreprises, le gouvernement et les organismes sans but lucratif;</w:t>
      </w:r>
    </w:p>
    <w:p w14:paraId="52919BCD" w14:textId="77777777" w:rsidR="00521ACE" w:rsidRDefault="00296B10">
      <w:pPr>
        <w:numPr>
          <w:ilvl w:val="0"/>
          <w:numId w:val="4"/>
        </w:numPr>
        <w:spacing w:after="220"/>
        <w:ind w:left="1020"/>
        <w:jc w:val="both"/>
      </w:pPr>
      <w:proofErr w:type="gramStart"/>
      <w:r>
        <w:rPr>
          <w:rFonts w:ascii="Helvetica Neue" w:hAnsi="Helvetica Neue"/>
          <w:sz w:val="23"/>
        </w:rPr>
        <w:lastRenderedPageBreak/>
        <w:t>représentation</w:t>
      </w:r>
      <w:proofErr w:type="gramEnd"/>
      <w:r>
        <w:rPr>
          <w:rFonts w:ascii="Helvetica Neue" w:hAnsi="Helvetica Neue"/>
          <w:sz w:val="23"/>
        </w:rPr>
        <w:t xml:space="preserve"> du contexte canadien, comme le genre, l’ethnicité, l’âge, et le lieu de résidence.</w:t>
      </w:r>
    </w:p>
    <w:p w14:paraId="3712D8C5" w14:textId="77777777" w:rsidR="00521ACE" w:rsidRDefault="00296B10">
      <w:pPr>
        <w:spacing w:after="220"/>
        <w:jc w:val="both"/>
        <w:rPr>
          <w:rFonts w:ascii="Helvetica Neue" w:eastAsia="Helvetica Neue" w:hAnsi="Helvetica Neue" w:cs="Helvetica Neue"/>
          <w:sz w:val="23"/>
          <w:szCs w:val="23"/>
        </w:rPr>
      </w:pPr>
      <w:r>
        <w:rPr>
          <w:rFonts w:ascii="Helvetica Neue" w:hAnsi="Helvetica Neue"/>
          <w:sz w:val="23"/>
        </w:rPr>
        <w:t>La politique s’applique au conseil d’administration de Mitacs Inc. Elle ne doit pas s’appliquer à la diversité du personnel, laquelle est couverte par une autre politique créée spécifiquement à cette fin.</w:t>
      </w:r>
    </w:p>
    <w:p w14:paraId="6912DA7A" w14:textId="77777777" w:rsidR="00521ACE" w:rsidRDefault="00296B10">
      <w:pPr>
        <w:spacing w:after="220"/>
        <w:jc w:val="both"/>
        <w:rPr>
          <w:rFonts w:ascii="Helvetica Neue" w:eastAsia="Helvetica Neue" w:hAnsi="Helvetica Neue" w:cs="Helvetica Neue"/>
          <w:b/>
          <w:sz w:val="23"/>
          <w:szCs w:val="23"/>
        </w:rPr>
      </w:pPr>
      <w:r>
        <w:rPr>
          <w:rFonts w:ascii="Helvetica Neue" w:hAnsi="Helvetica Neue"/>
          <w:b/>
          <w:sz w:val="23"/>
        </w:rPr>
        <w:t>II. RÔLES ET RESPONSABILITÉS DU CONSEIL D’ADMINISTRATION</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3075"/>
        <w:gridCol w:w="6285"/>
      </w:tblGrid>
      <w:tr w:rsidR="00521ACE" w14:paraId="0DC588F3" w14:textId="77777777">
        <w:trPr>
          <w:trHeight w:val="570"/>
        </w:trPr>
        <w:tc>
          <w:tcPr>
            <w:tcW w:w="3075" w:type="dxa"/>
            <w:tcBorders>
              <w:top w:val="nil"/>
              <w:left w:val="nil"/>
              <w:bottom w:val="single" w:sz="6" w:space="0" w:color="DBDBDB"/>
              <w:right w:val="nil"/>
            </w:tcBorders>
            <w:tcMar>
              <w:top w:w="120" w:type="dxa"/>
              <w:left w:w="120" w:type="dxa"/>
              <w:bottom w:w="120" w:type="dxa"/>
              <w:right w:w="120" w:type="dxa"/>
            </w:tcMar>
          </w:tcPr>
          <w:p w14:paraId="13545D27" w14:textId="77777777" w:rsidR="00521ACE" w:rsidRDefault="00296B10">
            <w:pPr>
              <w:spacing w:line="342" w:lineRule="auto"/>
              <w:jc w:val="both"/>
              <w:rPr>
                <w:rFonts w:ascii="Helvetica Neue" w:eastAsia="Helvetica Neue" w:hAnsi="Helvetica Neue" w:cs="Helvetica Neue"/>
                <w:sz w:val="23"/>
                <w:szCs w:val="23"/>
              </w:rPr>
            </w:pPr>
            <w:r>
              <w:rPr>
                <w:rFonts w:ascii="Helvetica Neue" w:hAnsi="Helvetica Neue"/>
                <w:sz w:val="23"/>
              </w:rPr>
              <w:t>RÔLES</w:t>
            </w:r>
          </w:p>
        </w:tc>
        <w:tc>
          <w:tcPr>
            <w:tcW w:w="6284" w:type="dxa"/>
            <w:tcBorders>
              <w:top w:val="nil"/>
              <w:left w:val="nil"/>
              <w:bottom w:val="single" w:sz="6" w:space="0" w:color="DBDBDB"/>
              <w:right w:val="nil"/>
            </w:tcBorders>
            <w:tcMar>
              <w:top w:w="120" w:type="dxa"/>
              <w:left w:w="120" w:type="dxa"/>
              <w:bottom w:w="120" w:type="dxa"/>
              <w:right w:w="120" w:type="dxa"/>
            </w:tcMar>
          </w:tcPr>
          <w:p w14:paraId="26866B0D" w14:textId="77777777" w:rsidR="00521ACE" w:rsidRDefault="00296B10">
            <w:pPr>
              <w:spacing w:line="342" w:lineRule="auto"/>
              <w:jc w:val="both"/>
              <w:rPr>
                <w:rFonts w:ascii="Helvetica Neue" w:eastAsia="Helvetica Neue" w:hAnsi="Helvetica Neue" w:cs="Helvetica Neue"/>
                <w:sz w:val="23"/>
                <w:szCs w:val="23"/>
              </w:rPr>
            </w:pPr>
            <w:r>
              <w:rPr>
                <w:rFonts w:ascii="Helvetica Neue" w:hAnsi="Helvetica Neue"/>
                <w:sz w:val="23"/>
              </w:rPr>
              <w:t>RESPONSABILITÉS</w:t>
            </w:r>
          </w:p>
        </w:tc>
      </w:tr>
      <w:tr w:rsidR="00521ACE" w14:paraId="2A7A82A8" w14:textId="77777777">
        <w:trPr>
          <w:trHeight w:val="1995"/>
        </w:trPr>
        <w:tc>
          <w:tcPr>
            <w:tcW w:w="3075" w:type="dxa"/>
            <w:tcBorders>
              <w:top w:val="nil"/>
              <w:left w:val="nil"/>
              <w:bottom w:val="single" w:sz="6" w:space="0" w:color="DBDBDB"/>
              <w:right w:val="nil"/>
            </w:tcBorders>
            <w:tcMar>
              <w:top w:w="120" w:type="dxa"/>
              <w:left w:w="120" w:type="dxa"/>
              <w:bottom w:w="120" w:type="dxa"/>
              <w:right w:w="120" w:type="dxa"/>
            </w:tcMar>
          </w:tcPr>
          <w:p w14:paraId="6E2380BB"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Présidence du conseil d’administration</w:t>
            </w:r>
          </w:p>
        </w:tc>
        <w:tc>
          <w:tcPr>
            <w:tcW w:w="6284" w:type="dxa"/>
            <w:tcBorders>
              <w:top w:val="nil"/>
              <w:left w:val="nil"/>
              <w:bottom w:val="single" w:sz="6" w:space="0" w:color="DBDBDB"/>
              <w:right w:val="nil"/>
            </w:tcBorders>
            <w:tcMar>
              <w:top w:w="120" w:type="dxa"/>
              <w:left w:w="120" w:type="dxa"/>
              <w:bottom w:w="120" w:type="dxa"/>
              <w:right w:w="120" w:type="dxa"/>
            </w:tcMar>
          </w:tcPr>
          <w:p w14:paraId="630E7773"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Examine le rendement interne du conseil et repère les points qui peuvent être améliorés.</w:t>
            </w:r>
          </w:p>
          <w:p w14:paraId="3D0957CF"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Se penche sur les responsabilités individuelles et partagées des administrateurs et administratrices et cerne les responsabilités qui requièrent de l’attention.</w:t>
            </w:r>
          </w:p>
        </w:tc>
      </w:tr>
      <w:tr w:rsidR="00521ACE" w14:paraId="636F751D" w14:textId="77777777">
        <w:trPr>
          <w:trHeight w:val="2415"/>
        </w:trPr>
        <w:tc>
          <w:tcPr>
            <w:tcW w:w="3075" w:type="dxa"/>
            <w:tcBorders>
              <w:top w:val="nil"/>
              <w:left w:val="nil"/>
              <w:bottom w:val="single" w:sz="6" w:space="0" w:color="DBDBDB"/>
              <w:right w:val="nil"/>
            </w:tcBorders>
            <w:tcMar>
              <w:top w:w="120" w:type="dxa"/>
              <w:left w:w="120" w:type="dxa"/>
              <w:bottom w:w="120" w:type="dxa"/>
              <w:right w:w="120" w:type="dxa"/>
            </w:tcMar>
          </w:tcPr>
          <w:p w14:paraId="38F3346F"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PDG et directeur scientifique, présidence du conseil d’administration et présidence du comité de gouvernance</w:t>
            </w:r>
          </w:p>
        </w:tc>
        <w:tc>
          <w:tcPr>
            <w:tcW w:w="6284" w:type="dxa"/>
            <w:tcBorders>
              <w:top w:val="nil"/>
              <w:left w:val="nil"/>
              <w:bottom w:val="single" w:sz="6" w:space="0" w:color="DBDBDB"/>
              <w:right w:val="nil"/>
            </w:tcBorders>
            <w:tcMar>
              <w:top w:w="120" w:type="dxa"/>
              <w:left w:w="120" w:type="dxa"/>
              <w:bottom w:w="120" w:type="dxa"/>
              <w:right w:w="120" w:type="dxa"/>
            </w:tcMar>
          </w:tcPr>
          <w:p w14:paraId="652F5226"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Questionne des partenaires postsecondaires et du secteur privé pour recruter de nouveaux ou nouvelles membres au conseil d’administration, en veillant à ce que la composition du conseil d’administration reflète les besoins de l’organisation et représente de manière appropriée les parties prenantes, en prenant en considération un équilibre des compétences, de l’expérience, des connaissances, des points de vue, de l’indépendance et des caractéristiques qui s’alignent sur les besoins stratégiques de Mitacs.</w:t>
            </w:r>
          </w:p>
        </w:tc>
      </w:tr>
      <w:tr w:rsidR="00521ACE" w14:paraId="12AB9661" w14:textId="77777777">
        <w:trPr>
          <w:trHeight w:val="3720"/>
        </w:trPr>
        <w:tc>
          <w:tcPr>
            <w:tcW w:w="3075" w:type="dxa"/>
            <w:tcBorders>
              <w:top w:val="nil"/>
              <w:left w:val="nil"/>
              <w:bottom w:val="single" w:sz="6" w:space="0" w:color="DBDBDB"/>
              <w:right w:val="nil"/>
            </w:tcBorders>
            <w:tcMar>
              <w:top w:w="120" w:type="dxa"/>
              <w:left w:w="120" w:type="dxa"/>
              <w:bottom w:w="120" w:type="dxa"/>
              <w:right w:w="120" w:type="dxa"/>
            </w:tcMar>
          </w:tcPr>
          <w:p w14:paraId="45ECB64C"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lastRenderedPageBreak/>
              <w:t>Comité de gouvernance</w:t>
            </w:r>
          </w:p>
        </w:tc>
        <w:tc>
          <w:tcPr>
            <w:tcW w:w="6284" w:type="dxa"/>
            <w:tcBorders>
              <w:top w:val="nil"/>
              <w:left w:val="nil"/>
              <w:bottom w:val="single" w:sz="6" w:space="0" w:color="DBDBDB"/>
              <w:right w:val="nil"/>
            </w:tcBorders>
            <w:tcMar>
              <w:top w:w="120" w:type="dxa"/>
              <w:left w:w="120" w:type="dxa"/>
              <w:bottom w:w="120" w:type="dxa"/>
              <w:right w:w="120" w:type="dxa"/>
            </w:tcMar>
          </w:tcPr>
          <w:p w14:paraId="251A5681"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Assure une approche claire et transparente pour le recrutement, le renouvellement et l’évaluation des administrateurs et administratrices du conseil.</w:t>
            </w:r>
          </w:p>
          <w:p w14:paraId="7E7564FB"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Maintient une liste à jour des personnes candidates potentielles.</w:t>
            </w:r>
          </w:p>
          <w:p w14:paraId="78AFF461"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En consultation avec la présidence du conseil d’administration et le PDG et directeur scientifique :</w:t>
            </w:r>
          </w:p>
          <w:p w14:paraId="113F2F8B" w14:textId="77777777" w:rsidR="00521ACE" w:rsidRDefault="00296B10">
            <w:pPr>
              <w:numPr>
                <w:ilvl w:val="0"/>
                <w:numId w:val="3"/>
              </w:numPr>
              <w:ind w:left="1020"/>
              <w:jc w:val="both"/>
            </w:pPr>
            <w:r>
              <w:rPr>
                <w:rFonts w:ascii="Helvetica Neue" w:hAnsi="Helvetica Neue"/>
                <w:sz w:val="23"/>
              </w:rPr>
              <w:t xml:space="preserve">Nomme des membres </w:t>
            </w:r>
            <w:proofErr w:type="spellStart"/>
            <w:r>
              <w:rPr>
                <w:rFonts w:ascii="Helvetica Neue" w:hAnsi="Helvetica Neue"/>
                <w:sz w:val="23"/>
              </w:rPr>
              <w:t>potentiel·les</w:t>
            </w:r>
            <w:proofErr w:type="spellEnd"/>
            <w:r>
              <w:rPr>
                <w:rFonts w:ascii="Helvetica Neue" w:hAnsi="Helvetica Neue"/>
                <w:sz w:val="23"/>
              </w:rPr>
              <w:t xml:space="preserve"> pour l’approbation par le conseil d’administration.</w:t>
            </w:r>
          </w:p>
          <w:p w14:paraId="400F962D" w14:textId="77777777" w:rsidR="00521ACE" w:rsidRDefault="00296B10">
            <w:pPr>
              <w:numPr>
                <w:ilvl w:val="0"/>
                <w:numId w:val="3"/>
              </w:numPr>
              <w:ind w:left="1020"/>
              <w:jc w:val="both"/>
            </w:pPr>
            <w:r>
              <w:rPr>
                <w:rFonts w:ascii="Helvetica Neue" w:hAnsi="Helvetica Neue"/>
                <w:sz w:val="23"/>
              </w:rPr>
              <w:t>Procède à l’évaluation et à la supervision pour veiller à ce que le processus de recrutement soit suivi.</w:t>
            </w:r>
          </w:p>
          <w:p w14:paraId="31011C68" w14:textId="77777777" w:rsidR="00521ACE" w:rsidRDefault="00296B10">
            <w:pPr>
              <w:numPr>
                <w:ilvl w:val="0"/>
                <w:numId w:val="3"/>
              </w:numPr>
              <w:spacing w:after="220"/>
              <w:ind w:left="1020"/>
              <w:jc w:val="both"/>
            </w:pPr>
            <w:r>
              <w:rPr>
                <w:rFonts w:ascii="Helvetica Neue" w:hAnsi="Helvetica Neue"/>
                <w:sz w:val="23"/>
              </w:rPr>
              <w:t>S’assure que tous les domaines de diversité soient représentés au sein du conseil d’administration.</w:t>
            </w:r>
          </w:p>
        </w:tc>
      </w:tr>
      <w:tr w:rsidR="00521ACE" w14:paraId="164A8F84" w14:textId="77777777">
        <w:trPr>
          <w:trHeight w:val="795"/>
        </w:trPr>
        <w:tc>
          <w:tcPr>
            <w:tcW w:w="3075" w:type="dxa"/>
            <w:tcBorders>
              <w:top w:val="nil"/>
              <w:left w:val="nil"/>
              <w:bottom w:val="single" w:sz="6" w:space="0" w:color="DBDBDB"/>
              <w:right w:val="nil"/>
            </w:tcBorders>
            <w:tcMar>
              <w:top w:w="120" w:type="dxa"/>
              <w:left w:w="120" w:type="dxa"/>
              <w:bottom w:w="120" w:type="dxa"/>
              <w:right w:w="120" w:type="dxa"/>
            </w:tcMar>
          </w:tcPr>
          <w:p w14:paraId="5BB4BD7C"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Conseil d’administration de Mitacs</w:t>
            </w:r>
          </w:p>
        </w:tc>
        <w:tc>
          <w:tcPr>
            <w:tcW w:w="6284" w:type="dxa"/>
            <w:tcBorders>
              <w:top w:val="nil"/>
              <w:left w:val="nil"/>
              <w:bottom w:val="single" w:sz="6" w:space="0" w:color="DBDBDB"/>
              <w:right w:val="nil"/>
            </w:tcBorders>
            <w:tcMar>
              <w:top w:w="120" w:type="dxa"/>
              <w:left w:w="120" w:type="dxa"/>
              <w:bottom w:w="120" w:type="dxa"/>
              <w:right w:w="120" w:type="dxa"/>
            </w:tcMar>
          </w:tcPr>
          <w:p w14:paraId="3FD62B5E" w14:textId="77777777" w:rsidR="00521ACE" w:rsidRDefault="00296B10">
            <w:pPr>
              <w:spacing w:after="220" w:line="342" w:lineRule="auto"/>
              <w:jc w:val="both"/>
              <w:rPr>
                <w:rFonts w:ascii="Helvetica Neue" w:eastAsia="Helvetica Neue" w:hAnsi="Helvetica Neue" w:cs="Helvetica Neue"/>
                <w:sz w:val="23"/>
                <w:szCs w:val="23"/>
              </w:rPr>
            </w:pPr>
            <w:r>
              <w:rPr>
                <w:rFonts w:ascii="Helvetica Neue" w:hAnsi="Helvetica Neue"/>
                <w:sz w:val="23"/>
              </w:rPr>
              <w:t>Recommande la liste de candidates et candidats aux membres de Mitacs.</w:t>
            </w:r>
          </w:p>
        </w:tc>
      </w:tr>
      <w:tr w:rsidR="00521ACE" w14:paraId="52F4DFF6" w14:textId="77777777">
        <w:trPr>
          <w:trHeight w:val="570"/>
        </w:trPr>
        <w:tc>
          <w:tcPr>
            <w:tcW w:w="3075" w:type="dxa"/>
            <w:tcBorders>
              <w:top w:val="nil"/>
              <w:left w:val="nil"/>
              <w:bottom w:val="single" w:sz="6" w:space="0" w:color="DBDBDB"/>
              <w:right w:val="nil"/>
            </w:tcBorders>
            <w:tcMar>
              <w:top w:w="120" w:type="dxa"/>
              <w:left w:w="120" w:type="dxa"/>
              <w:bottom w:w="120" w:type="dxa"/>
              <w:right w:w="120" w:type="dxa"/>
            </w:tcMar>
          </w:tcPr>
          <w:p w14:paraId="457070AD" w14:textId="77777777" w:rsidR="00521ACE" w:rsidRDefault="00296B10">
            <w:pPr>
              <w:spacing w:line="342" w:lineRule="auto"/>
              <w:jc w:val="both"/>
              <w:rPr>
                <w:rFonts w:ascii="Helvetica Neue" w:eastAsia="Helvetica Neue" w:hAnsi="Helvetica Neue" w:cs="Helvetica Neue"/>
                <w:sz w:val="23"/>
                <w:szCs w:val="23"/>
              </w:rPr>
            </w:pPr>
            <w:r>
              <w:rPr>
                <w:rFonts w:ascii="Helvetica Neue" w:hAnsi="Helvetica Neue"/>
                <w:sz w:val="23"/>
              </w:rPr>
              <w:t>Membres de Mitacs</w:t>
            </w:r>
          </w:p>
        </w:tc>
        <w:tc>
          <w:tcPr>
            <w:tcW w:w="6284" w:type="dxa"/>
            <w:tcBorders>
              <w:top w:val="nil"/>
              <w:left w:val="nil"/>
              <w:bottom w:val="single" w:sz="6" w:space="0" w:color="DBDBDB"/>
              <w:right w:val="nil"/>
            </w:tcBorders>
            <w:tcMar>
              <w:top w:w="120" w:type="dxa"/>
              <w:left w:w="120" w:type="dxa"/>
              <w:bottom w:w="120" w:type="dxa"/>
              <w:right w:w="120" w:type="dxa"/>
            </w:tcMar>
          </w:tcPr>
          <w:p w14:paraId="059F7FC2" w14:textId="7FBE87A8" w:rsidR="00521ACE" w:rsidRDefault="00296B10">
            <w:pPr>
              <w:spacing w:line="342" w:lineRule="auto"/>
              <w:jc w:val="both"/>
              <w:rPr>
                <w:rFonts w:ascii="Helvetica Neue" w:eastAsia="Helvetica Neue" w:hAnsi="Helvetica Neue" w:cs="Helvetica Neue"/>
                <w:sz w:val="23"/>
                <w:szCs w:val="23"/>
              </w:rPr>
            </w:pPr>
            <w:r>
              <w:rPr>
                <w:rFonts w:ascii="Helvetica Neue" w:hAnsi="Helvetica Neue"/>
                <w:sz w:val="23"/>
              </w:rPr>
              <w:t>Nomment et approuvent la liste de candidates et candidats lors de l’assemblée générale annuelle.</w:t>
            </w:r>
          </w:p>
        </w:tc>
      </w:tr>
    </w:tbl>
    <w:p w14:paraId="1740B9D6" w14:textId="77777777" w:rsidR="00521ACE" w:rsidRDefault="00296B10">
      <w:pPr>
        <w:spacing w:after="220"/>
        <w:jc w:val="both"/>
        <w:rPr>
          <w:rFonts w:ascii="Helvetica Neue" w:eastAsia="Helvetica Neue" w:hAnsi="Helvetica Neue" w:cs="Helvetica Neue"/>
          <w:sz w:val="23"/>
          <w:szCs w:val="23"/>
        </w:rPr>
      </w:pPr>
      <w:r>
        <w:rPr>
          <w:rFonts w:ascii="Helvetica Neue" w:hAnsi="Helvetica Neue"/>
          <w:sz w:val="23"/>
        </w:rPr>
        <w:t xml:space="preserve"> </w:t>
      </w:r>
    </w:p>
    <w:p w14:paraId="2925F593" w14:textId="77777777" w:rsidR="00521ACE" w:rsidRDefault="00296B10">
      <w:pPr>
        <w:spacing w:after="220"/>
        <w:jc w:val="both"/>
        <w:rPr>
          <w:rFonts w:ascii="Helvetica Neue" w:eastAsia="Helvetica Neue" w:hAnsi="Helvetica Neue" w:cs="Helvetica Neue"/>
          <w:b/>
          <w:sz w:val="23"/>
          <w:szCs w:val="23"/>
        </w:rPr>
      </w:pPr>
      <w:r>
        <w:rPr>
          <w:rFonts w:ascii="Helvetica Neue" w:hAnsi="Helvetica Neue"/>
          <w:b/>
          <w:sz w:val="23"/>
        </w:rPr>
        <w:t>III. POLITIQUE</w:t>
      </w:r>
    </w:p>
    <w:p w14:paraId="304AD009" w14:textId="77777777" w:rsidR="00521ACE" w:rsidRDefault="00296B10">
      <w:pPr>
        <w:spacing w:after="220"/>
        <w:jc w:val="both"/>
        <w:rPr>
          <w:rFonts w:ascii="Helvetica Neue" w:eastAsia="Helvetica Neue" w:hAnsi="Helvetica Neue" w:cs="Helvetica Neue"/>
          <w:sz w:val="23"/>
          <w:szCs w:val="23"/>
        </w:rPr>
      </w:pPr>
      <w:r>
        <w:rPr>
          <w:rFonts w:ascii="Helvetica Neue" w:hAnsi="Helvetica Neue"/>
          <w:sz w:val="23"/>
        </w:rPr>
        <w:t>Le conseil d’administration de Mitacs s’engage à obtenir la diversité dans le processus de recrutement des personnes candidates. Le comité de gouvernance du conseil d’administration envisage différents facteurs dans la sélection des candidates et candidats au conseil, dont la diversité de pensée, la capacité de prise de décision, les compétences, le lieu géographique, la langue, l’expérience en affaires, gouvernementale ou dans le milieu postsecondaire, ainsi que l’interaction de l’expérience de la personne candidate avec l’expérience des autres membres du conseil d’administration et la mesure dans laquelle un candidat ou une candidate serait un ajout souhaitable au conseil.</w:t>
      </w:r>
    </w:p>
    <w:p w14:paraId="411BB59F" w14:textId="77777777" w:rsidR="00521ACE" w:rsidRDefault="00296B10">
      <w:pPr>
        <w:spacing w:after="220"/>
        <w:jc w:val="both"/>
        <w:rPr>
          <w:rFonts w:ascii="Helvetica Neue" w:eastAsia="Helvetica Neue" w:hAnsi="Helvetica Neue" w:cs="Helvetica Neue"/>
          <w:sz w:val="23"/>
          <w:szCs w:val="23"/>
        </w:rPr>
      </w:pPr>
      <w:r>
        <w:rPr>
          <w:rFonts w:ascii="Helvetica Neue" w:hAnsi="Helvetica Neue"/>
          <w:sz w:val="23"/>
        </w:rPr>
        <w:t xml:space="preserve">Reconnaissant le rôle important et les aspects significatifs de la diversité et de l’inclusion et acceptant la participation et la contribution accrues de ces perspectives variées, le conseil </w:t>
      </w:r>
      <w:r>
        <w:rPr>
          <w:rFonts w:ascii="Helvetica Neue" w:hAnsi="Helvetica Neue"/>
          <w:sz w:val="23"/>
        </w:rPr>
        <w:lastRenderedPageBreak/>
        <w:t>d’administration vise à représenter fidèlement la population actuelle et en évolution du Canada en représentant de manière appropriée les femmes, les Peuples autochtones, les différents âges et origines ethniques ainsi que les deux langues officielles.</w:t>
      </w:r>
    </w:p>
    <w:p w14:paraId="5F13721F" w14:textId="77777777" w:rsidR="00521ACE" w:rsidRDefault="00296B10">
      <w:pPr>
        <w:spacing w:after="220"/>
        <w:jc w:val="both"/>
        <w:rPr>
          <w:rFonts w:ascii="Helvetica Neue" w:eastAsia="Helvetica Neue" w:hAnsi="Helvetica Neue" w:cs="Helvetica Neue"/>
          <w:b/>
          <w:sz w:val="23"/>
          <w:szCs w:val="23"/>
        </w:rPr>
      </w:pPr>
      <w:r>
        <w:rPr>
          <w:rFonts w:ascii="Helvetica Neue" w:hAnsi="Helvetica Neue"/>
          <w:b/>
          <w:sz w:val="23"/>
        </w:rPr>
        <w:t>IV. PROCESSUS</w:t>
      </w:r>
    </w:p>
    <w:p w14:paraId="080DF58B" w14:textId="77777777" w:rsidR="00521ACE" w:rsidRDefault="00296B10">
      <w:pPr>
        <w:spacing w:after="220"/>
        <w:jc w:val="both"/>
        <w:rPr>
          <w:rFonts w:ascii="Helvetica Neue" w:eastAsia="Helvetica Neue" w:hAnsi="Helvetica Neue" w:cs="Helvetica Neue"/>
          <w:sz w:val="23"/>
          <w:szCs w:val="23"/>
        </w:rPr>
      </w:pPr>
      <w:r>
        <w:rPr>
          <w:rFonts w:ascii="Helvetica Neue" w:hAnsi="Helvetica Neue"/>
          <w:sz w:val="23"/>
        </w:rPr>
        <w:t>Pour obtenir la diversité au sein du conseil d’administration de Mitacs, le comité de gouvernance mènera un processus de recrutement rigoureux. Les objectifs du processus sont les suivants :</w:t>
      </w:r>
    </w:p>
    <w:p w14:paraId="1A9186A7" w14:textId="77777777" w:rsidR="00521ACE" w:rsidRDefault="00296B10">
      <w:pPr>
        <w:numPr>
          <w:ilvl w:val="0"/>
          <w:numId w:val="2"/>
        </w:numPr>
        <w:ind w:left="1020"/>
        <w:jc w:val="both"/>
      </w:pPr>
      <w:proofErr w:type="gramStart"/>
      <w:r>
        <w:rPr>
          <w:rFonts w:ascii="Helvetica Neue" w:hAnsi="Helvetica Neue"/>
          <w:sz w:val="23"/>
        </w:rPr>
        <w:t>adhérer</w:t>
      </w:r>
      <w:proofErr w:type="gramEnd"/>
      <w:r>
        <w:rPr>
          <w:rFonts w:ascii="Helvetica Neue" w:hAnsi="Helvetica Neue"/>
          <w:sz w:val="23"/>
        </w:rPr>
        <w:t xml:space="preserve"> aux règlements administratifs de Mitacs concernant la composition du conseil d’administration;</w:t>
      </w:r>
    </w:p>
    <w:p w14:paraId="5BE76E23" w14:textId="77777777" w:rsidR="00521ACE" w:rsidRDefault="00296B10">
      <w:pPr>
        <w:numPr>
          <w:ilvl w:val="0"/>
          <w:numId w:val="2"/>
        </w:numPr>
        <w:ind w:left="1020"/>
        <w:jc w:val="both"/>
      </w:pPr>
      <w:proofErr w:type="gramStart"/>
      <w:r>
        <w:rPr>
          <w:rFonts w:ascii="Helvetica Neue" w:hAnsi="Helvetica Neue"/>
          <w:sz w:val="23"/>
        </w:rPr>
        <w:t>assurer</w:t>
      </w:r>
      <w:proofErr w:type="gramEnd"/>
      <w:r>
        <w:rPr>
          <w:rFonts w:ascii="Helvetica Neue" w:hAnsi="Helvetica Neue"/>
          <w:sz w:val="23"/>
        </w:rPr>
        <w:t xml:space="preserve"> une approche claire et transparente pour le recrutement, le renouvellement et l’évaluation des administrateurs et administratrices du conseil;</w:t>
      </w:r>
    </w:p>
    <w:p w14:paraId="58791AC4" w14:textId="4B673995" w:rsidR="00521ACE" w:rsidRDefault="00296B10">
      <w:pPr>
        <w:numPr>
          <w:ilvl w:val="0"/>
          <w:numId w:val="2"/>
        </w:numPr>
        <w:ind w:left="1020"/>
        <w:jc w:val="both"/>
      </w:pPr>
      <w:proofErr w:type="gramStart"/>
      <w:r>
        <w:rPr>
          <w:rFonts w:ascii="Helvetica Neue" w:hAnsi="Helvetica Neue"/>
          <w:sz w:val="23"/>
        </w:rPr>
        <w:t>garantir</w:t>
      </w:r>
      <w:proofErr w:type="gramEnd"/>
      <w:r>
        <w:rPr>
          <w:rFonts w:ascii="Helvetica Neue" w:hAnsi="Helvetica Neue"/>
          <w:sz w:val="23"/>
        </w:rPr>
        <w:t xml:space="preserve"> que la composition du conseil d’administration reflète les besoins de l’organisation et représente adéquatement les parties prenantes, en maintenant et en évaluant la grille des compétences du conseil pour s’assurer que sa composition tient compte de l’équilibre des compétences, de l’expérience, des connaissances, des points de vue, de l’indépendance et des caractéristiques en s’alignant sur les besoins stratégiques de Mitacs </w:t>
      </w:r>
      <w:proofErr w:type="spellStart"/>
      <w:r w:rsidR="00A2564E">
        <w:rPr>
          <w:rFonts w:ascii="Helvetica Neue" w:hAnsi="Helvetica Neue"/>
          <w:sz w:val="23"/>
        </w:rPr>
        <w:t>i</w:t>
      </w:r>
      <w:r>
        <w:rPr>
          <w:rFonts w:ascii="Helvetica Neue" w:hAnsi="Helvetica Neue"/>
          <w:sz w:val="23"/>
        </w:rPr>
        <w:t>nc.</w:t>
      </w:r>
      <w:proofErr w:type="spellEnd"/>
      <w:r>
        <w:rPr>
          <w:rFonts w:ascii="Helvetica Neue" w:hAnsi="Helvetica Neue"/>
          <w:sz w:val="23"/>
        </w:rPr>
        <w:t xml:space="preserve"> et de l’environnement dans lequel elle opère;</w:t>
      </w:r>
    </w:p>
    <w:p w14:paraId="3904BA2E" w14:textId="77777777" w:rsidR="00521ACE" w:rsidRDefault="00296B10">
      <w:pPr>
        <w:numPr>
          <w:ilvl w:val="0"/>
          <w:numId w:val="2"/>
        </w:numPr>
        <w:ind w:left="1020"/>
        <w:jc w:val="both"/>
      </w:pPr>
      <w:proofErr w:type="gramStart"/>
      <w:r>
        <w:rPr>
          <w:rFonts w:ascii="Helvetica Neue" w:hAnsi="Helvetica Neue"/>
          <w:sz w:val="23"/>
        </w:rPr>
        <w:t>examiner</w:t>
      </w:r>
      <w:proofErr w:type="gramEnd"/>
      <w:r>
        <w:rPr>
          <w:rFonts w:ascii="Helvetica Neue" w:hAnsi="Helvetica Neue"/>
          <w:sz w:val="23"/>
        </w:rPr>
        <w:t xml:space="preserve"> le rendement interne du conseil et repérer les points qui peuvent être améliorés;</w:t>
      </w:r>
    </w:p>
    <w:p w14:paraId="05673C8C" w14:textId="77777777" w:rsidR="00521ACE" w:rsidRDefault="00296B10">
      <w:pPr>
        <w:numPr>
          <w:ilvl w:val="0"/>
          <w:numId w:val="2"/>
        </w:numPr>
        <w:ind w:left="1020"/>
        <w:jc w:val="both"/>
      </w:pPr>
      <w:proofErr w:type="gramStart"/>
      <w:r>
        <w:rPr>
          <w:rFonts w:ascii="Helvetica Neue" w:hAnsi="Helvetica Neue"/>
          <w:sz w:val="23"/>
        </w:rPr>
        <w:t>se</w:t>
      </w:r>
      <w:proofErr w:type="gramEnd"/>
      <w:r>
        <w:rPr>
          <w:rFonts w:ascii="Helvetica Neue" w:hAnsi="Helvetica Neue"/>
          <w:sz w:val="23"/>
        </w:rPr>
        <w:t xml:space="preserve"> pencher sur les responsabilités individuelles et partagées des administrateurs et administratrices et cerner les responsabilités qui requièrent de l’attention;</w:t>
      </w:r>
    </w:p>
    <w:p w14:paraId="648A856C" w14:textId="77777777" w:rsidR="00521ACE" w:rsidRDefault="00296B10">
      <w:pPr>
        <w:numPr>
          <w:ilvl w:val="0"/>
          <w:numId w:val="2"/>
        </w:numPr>
        <w:ind w:left="1020"/>
        <w:jc w:val="both"/>
      </w:pPr>
      <w:proofErr w:type="gramStart"/>
      <w:r>
        <w:rPr>
          <w:rFonts w:ascii="Helvetica Neue" w:hAnsi="Helvetica Neue"/>
          <w:sz w:val="23"/>
        </w:rPr>
        <w:t>faire</w:t>
      </w:r>
      <w:proofErr w:type="gramEnd"/>
      <w:r>
        <w:rPr>
          <w:rFonts w:ascii="Helvetica Neue" w:hAnsi="Helvetica Neue"/>
          <w:sz w:val="23"/>
        </w:rPr>
        <w:t xml:space="preserve"> de l’intégrité une valeur organisationnelle;</w:t>
      </w:r>
    </w:p>
    <w:p w14:paraId="312D73C6" w14:textId="77777777" w:rsidR="00521ACE" w:rsidRDefault="00296B10">
      <w:pPr>
        <w:numPr>
          <w:ilvl w:val="0"/>
          <w:numId w:val="2"/>
        </w:numPr>
        <w:ind w:left="1020"/>
        <w:jc w:val="both"/>
      </w:pPr>
      <w:proofErr w:type="gramStart"/>
      <w:r>
        <w:rPr>
          <w:rFonts w:ascii="Helvetica Neue" w:hAnsi="Helvetica Neue"/>
          <w:sz w:val="23"/>
        </w:rPr>
        <w:t>faire</w:t>
      </w:r>
      <w:proofErr w:type="gramEnd"/>
      <w:r>
        <w:rPr>
          <w:rFonts w:ascii="Helvetica Neue" w:hAnsi="Helvetica Neue"/>
          <w:sz w:val="23"/>
        </w:rPr>
        <w:t xml:space="preserve"> preuve de crédibilité pour les bailleurs de fonds et autres publics et parties prenantes externes;</w:t>
      </w:r>
    </w:p>
    <w:p w14:paraId="37BF5037" w14:textId="77777777" w:rsidR="00521ACE" w:rsidRDefault="00296B10">
      <w:pPr>
        <w:numPr>
          <w:ilvl w:val="0"/>
          <w:numId w:val="2"/>
        </w:numPr>
        <w:ind w:left="1020"/>
        <w:jc w:val="both"/>
      </w:pPr>
      <w:proofErr w:type="gramStart"/>
      <w:r>
        <w:rPr>
          <w:rFonts w:ascii="Helvetica Neue" w:hAnsi="Helvetica Neue"/>
          <w:sz w:val="23"/>
        </w:rPr>
        <w:t>trouver</w:t>
      </w:r>
      <w:proofErr w:type="gramEnd"/>
      <w:r>
        <w:rPr>
          <w:rFonts w:ascii="Helvetica Neue" w:hAnsi="Helvetica Neue"/>
          <w:sz w:val="23"/>
        </w:rPr>
        <w:t xml:space="preserve"> des personnes candidates appropriées pour la nomination au conseil d’administration selon des critères objectifs et le mérite, en tenant compte des avantages pour la diversité du conseil;</w:t>
      </w:r>
    </w:p>
    <w:p w14:paraId="41752D4A" w14:textId="77777777" w:rsidR="00521ACE" w:rsidRDefault="00296B10">
      <w:pPr>
        <w:numPr>
          <w:ilvl w:val="0"/>
          <w:numId w:val="2"/>
        </w:numPr>
        <w:spacing w:after="220"/>
        <w:ind w:left="1020"/>
        <w:jc w:val="both"/>
      </w:pPr>
      <w:proofErr w:type="gramStart"/>
      <w:r>
        <w:rPr>
          <w:rFonts w:ascii="Helvetica Neue" w:hAnsi="Helvetica Neue"/>
          <w:sz w:val="23"/>
        </w:rPr>
        <w:t>maintenir</w:t>
      </w:r>
      <w:proofErr w:type="gramEnd"/>
      <w:r>
        <w:rPr>
          <w:rFonts w:ascii="Helvetica Neue" w:hAnsi="Helvetica Neue"/>
          <w:sz w:val="23"/>
        </w:rPr>
        <w:t xml:space="preserve"> une liste à jour des personnes candidates potentielles.</w:t>
      </w:r>
    </w:p>
    <w:p w14:paraId="47574B85" w14:textId="77777777" w:rsidR="00521ACE" w:rsidRDefault="00296B10">
      <w:pPr>
        <w:spacing w:after="220"/>
        <w:jc w:val="both"/>
        <w:rPr>
          <w:sz w:val="23"/>
          <w:szCs w:val="23"/>
        </w:rPr>
      </w:pPr>
      <w:r>
        <w:rPr>
          <w:sz w:val="23"/>
        </w:rPr>
        <w:t xml:space="preserve"> </w:t>
      </w:r>
    </w:p>
    <w:p w14:paraId="7AF90CC6" w14:textId="77777777" w:rsidR="00521ACE" w:rsidRDefault="00296B10">
      <w:pPr>
        <w:spacing w:after="220"/>
        <w:jc w:val="both"/>
        <w:rPr>
          <w:i/>
          <w:sz w:val="23"/>
          <w:szCs w:val="23"/>
        </w:rPr>
      </w:pPr>
      <w:r>
        <w:rPr>
          <w:i/>
          <w:sz w:val="23"/>
        </w:rPr>
        <w:t>Approuvée par le conseil d’administration : mars 2020.</w:t>
      </w:r>
    </w:p>
    <w:p w14:paraId="3F6BF181" w14:textId="77777777" w:rsidR="00521ACE" w:rsidRDefault="00296B10">
      <w:pPr>
        <w:spacing w:after="220"/>
        <w:jc w:val="center"/>
      </w:pPr>
      <w:r>
        <w:rPr>
          <w:i/>
          <w:noProof/>
          <w:sz w:val="23"/>
        </w:rPr>
        <w:drawing>
          <wp:inline distT="114300" distB="114300" distL="114300" distR="114300" wp14:anchorId="2B1CB928" wp14:editId="07F7FE77">
            <wp:extent cx="5943600" cy="533400"/>
            <wp:effectExtent l="0" t="0" r="0" b="0"/>
            <wp:docPr id="1" name="image1.png" descr="Government logos"/>
            <wp:cNvGraphicFramePr/>
            <a:graphic xmlns:a="http://schemas.openxmlformats.org/drawingml/2006/main">
              <a:graphicData uri="http://schemas.openxmlformats.org/drawingml/2006/picture">
                <pic:pic xmlns:pic="http://schemas.openxmlformats.org/drawingml/2006/picture">
                  <pic:nvPicPr>
                    <pic:cNvPr id="0" name="image1.png" descr="Government logos"/>
                    <pic:cNvPicPr preferRelativeResize="0"/>
                  </pic:nvPicPr>
                  <pic:blipFill>
                    <a:blip r:embed="rId5"/>
                    <a:srcRect/>
                    <a:stretch>
                      <a:fillRect/>
                    </a:stretch>
                  </pic:blipFill>
                  <pic:spPr>
                    <a:xfrm>
                      <a:off x="0" y="0"/>
                      <a:ext cx="5943600" cy="533400"/>
                    </a:xfrm>
                    <a:prstGeom prst="rect">
                      <a:avLst/>
                    </a:prstGeom>
                    <a:ln/>
                  </pic:spPr>
                </pic:pic>
              </a:graphicData>
            </a:graphic>
          </wp:inline>
        </w:drawing>
      </w:r>
    </w:p>
    <w:sectPr w:rsidR="00521A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B7E20"/>
    <w:multiLevelType w:val="multilevel"/>
    <w:tmpl w:val="BD2A8DC2"/>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530653"/>
    <w:multiLevelType w:val="multilevel"/>
    <w:tmpl w:val="C26AEF38"/>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0404A5"/>
    <w:multiLevelType w:val="multilevel"/>
    <w:tmpl w:val="9D160464"/>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7E321C"/>
    <w:multiLevelType w:val="multilevel"/>
    <w:tmpl w:val="1FBA725A"/>
    <w:lvl w:ilvl="0">
      <w:start w:val="1"/>
      <w:numFmt w:val="bullet"/>
      <w:lvlText w:val="■"/>
      <w:lvlJc w:val="left"/>
      <w:pPr>
        <w:ind w:left="720" w:hanging="360"/>
      </w:pPr>
      <w:rPr>
        <w:rFonts w:ascii="Helvetica Neue" w:eastAsia="Helvetica Neue" w:hAnsi="Helvetica Neue" w:cs="Helvetica Neu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9047187">
    <w:abstractNumId w:val="3"/>
  </w:num>
  <w:num w:numId="2" w16cid:durableId="167909565">
    <w:abstractNumId w:val="0"/>
  </w:num>
  <w:num w:numId="3" w16cid:durableId="317536006">
    <w:abstractNumId w:val="2"/>
  </w:num>
  <w:num w:numId="4" w16cid:durableId="1906065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6939FA-A8E9-48B7-941E-29090AC0E059}"/>
    <w:docVar w:name="dgnword-eventsink" w:val="2348275813632"/>
  </w:docVars>
  <w:rsids>
    <w:rsidRoot w:val="00521ACE"/>
    <w:rsid w:val="00296B10"/>
    <w:rsid w:val="003C6A64"/>
    <w:rsid w:val="003D2376"/>
    <w:rsid w:val="00487BC9"/>
    <w:rsid w:val="00521ACE"/>
    <w:rsid w:val="00717487"/>
    <w:rsid w:val="00A2564E"/>
    <w:rsid w:val="00C25BDF"/>
    <w:rsid w:val="00FD2D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DF39"/>
  <w15:docId w15:val="{278A4795-B018-44E0-9AC2-8D84B5CE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25BDF"/>
    <w:pPr>
      <w:spacing w:line="240" w:lineRule="auto"/>
    </w:pPr>
  </w:style>
  <w:style w:type="character" w:styleId="CommentReference">
    <w:name w:val="annotation reference"/>
    <w:basedOn w:val="DefaultParagraphFont"/>
    <w:uiPriority w:val="99"/>
    <w:semiHidden/>
    <w:unhideWhenUsed/>
    <w:rsid w:val="00FD2DF9"/>
    <w:rPr>
      <w:sz w:val="16"/>
      <w:szCs w:val="16"/>
    </w:rPr>
  </w:style>
  <w:style w:type="paragraph" w:styleId="CommentText">
    <w:name w:val="annotation text"/>
    <w:basedOn w:val="Normal"/>
    <w:link w:val="CommentTextChar"/>
    <w:uiPriority w:val="99"/>
    <w:unhideWhenUsed/>
    <w:rsid w:val="00FD2DF9"/>
    <w:pPr>
      <w:spacing w:line="240" w:lineRule="auto"/>
    </w:pPr>
    <w:rPr>
      <w:sz w:val="20"/>
      <w:szCs w:val="20"/>
    </w:rPr>
  </w:style>
  <w:style w:type="character" w:customStyle="1" w:styleId="CommentTextChar">
    <w:name w:val="Comment Text Char"/>
    <w:basedOn w:val="DefaultParagraphFont"/>
    <w:link w:val="CommentText"/>
    <w:uiPriority w:val="99"/>
    <w:rsid w:val="00FD2DF9"/>
    <w:rPr>
      <w:sz w:val="20"/>
      <w:szCs w:val="20"/>
    </w:rPr>
  </w:style>
  <w:style w:type="paragraph" w:styleId="CommentSubject">
    <w:name w:val="annotation subject"/>
    <w:basedOn w:val="CommentText"/>
    <w:next w:val="CommentText"/>
    <w:link w:val="CommentSubjectChar"/>
    <w:uiPriority w:val="99"/>
    <w:semiHidden/>
    <w:unhideWhenUsed/>
    <w:rsid w:val="00FD2DF9"/>
    <w:rPr>
      <w:b/>
      <w:bCs/>
    </w:rPr>
  </w:style>
  <w:style w:type="character" w:customStyle="1" w:styleId="CommentSubjectChar">
    <w:name w:val="Comment Subject Char"/>
    <w:basedOn w:val="CommentTextChar"/>
    <w:link w:val="CommentSubject"/>
    <w:uiPriority w:val="99"/>
    <w:semiHidden/>
    <w:rsid w:val="00FD2D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6310</Characters>
  <Application>Microsoft Office Word</Application>
  <DocSecurity>4</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Bouchard-Therrien</dc:creator>
  <cp:lastModifiedBy>Annie Bouchard-Therrien</cp:lastModifiedBy>
  <cp:revision>2</cp:revision>
  <dcterms:created xsi:type="dcterms:W3CDTF">2023-11-29T20:30:00Z</dcterms:created>
  <dcterms:modified xsi:type="dcterms:W3CDTF">2023-11-29T20:30:00Z</dcterms:modified>
</cp:coreProperties>
</file>