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1BD3" w14:textId="5D7CFE21" w:rsidR="007150B9" w:rsidRPr="007150B9" w:rsidRDefault="007818FA" w:rsidP="007150B9">
      <w:pPr>
        <w:spacing w:after="395" w:line="259" w:lineRule="auto"/>
        <w:ind w:left="0" w:firstLine="0"/>
        <w:jc w:val="center"/>
        <w:rPr>
          <w:rFonts w:ascii="Calibri" w:hAnsi="Calibri" w:cs="Calibri"/>
          <w:b/>
          <w:sz w:val="48"/>
          <w:szCs w:val="48"/>
        </w:rPr>
      </w:pPr>
      <w:r w:rsidRPr="002D2763">
        <w:rPr>
          <w:rFonts w:ascii="Calibri" w:hAnsi="Calibri" w:cs="Calibri"/>
          <w:b/>
          <w:sz w:val="48"/>
          <w:szCs w:val="48"/>
        </w:rPr>
        <w:t>Use of Funds</w:t>
      </w:r>
    </w:p>
    <w:p w14:paraId="741CB305" w14:textId="77777777" w:rsidR="0059101D" w:rsidRDefault="007818FA">
      <w:pPr>
        <w:spacing w:after="10"/>
        <w:ind w:left="-5"/>
      </w:pPr>
      <w:r>
        <w:t>Mitacs funds may be used to support the direct costs of research as specified in the</w:t>
      </w:r>
    </w:p>
    <w:p w14:paraId="0C0CBC3C" w14:textId="77777777" w:rsidR="0059101D" w:rsidRDefault="007818FA">
      <w:pPr>
        <w:spacing w:after="399"/>
        <w:ind w:left="-5"/>
      </w:pPr>
      <w:r>
        <w:t xml:space="preserve">Tri-Agency’s </w:t>
      </w:r>
      <w:hyperlink r:id="rId9">
        <w:r>
          <w:rPr>
            <w:color w:val="1155CC"/>
            <w:u w:val="single" w:color="1155CC"/>
          </w:rPr>
          <w:t>Financial Administration</w:t>
        </w:r>
      </w:hyperlink>
      <w:r>
        <w:rPr>
          <w:color w:val="1155CC"/>
          <w:u w:val="single" w:color="1155CC"/>
        </w:rPr>
        <w:t xml:space="preserve"> </w:t>
      </w:r>
      <w:r>
        <w:t>guidelines. Innovation projects in the Business Strategy Internship program are eligible to include direct project costs in accordance with the same guidelines.</w:t>
      </w:r>
    </w:p>
    <w:p w14:paraId="7F9BFF3C" w14:textId="113F7F6E" w:rsidR="004204B8" w:rsidRDefault="00756DE1" w:rsidP="000167F0">
      <w:pPr>
        <w:spacing w:after="399"/>
        <w:ind w:left="-5"/>
      </w:pPr>
      <w:r w:rsidRPr="00756DE1">
        <w:t>The Mitacs award must be paid to eligible post-secondary institutions and cannot be used to buy goods or services from any organization listed as a partner on the project or to cover any expenses for partner organization personnel.</w:t>
      </w:r>
    </w:p>
    <w:p w14:paraId="5F9DEF2F" w14:textId="77777777" w:rsidR="0059101D" w:rsidRDefault="007818FA">
      <w:pPr>
        <w:spacing w:after="406"/>
        <w:ind w:left="-5"/>
      </w:pPr>
      <w:r>
        <w:t>Additional eligible expenses (for both research and innovation projects) include:</w:t>
      </w:r>
    </w:p>
    <w:p w14:paraId="48EDD06A" w14:textId="77777777" w:rsidR="0059101D" w:rsidRDefault="007818FA">
      <w:pPr>
        <w:numPr>
          <w:ilvl w:val="0"/>
          <w:numId w:val="1"/>
        </w:numPr>
        <w:spacing w:after="6" w:line="259" w:lineRule="auto"/>
        <w:ind w:hanging="160"/>
      </w:pPr>
      <w:r>
        <w:t xml:space="preserve">In accordance with the </w:t>
      </w:r>
      <w:hyperlink r:id="rId10">
        <w:r>
          <w:rPr>
            <w:color w:val="1155CC"/>
            <w:u w:val="single" w:color="1155CC"/>
          </w:rPr>
          <w:t>Tri-Council Policy Statement:</w:t>
        </w:r>
      </w:hyperlink>
      <w:r>
        <w:rPr>
          <w:color w:val="1155CC"/>
          <w:u w:val="single" w:color="1155CC"/>
        </w:rPr>
        <w:t xml:space="preserve"> </w:t>
      </w:r>
      <w:hyperlink r:id="rId11">
        <w:r>
          <w:rPr>
            <w:color w:val="1155CC"/>
            <w:u w:val="single" w:color="1155CC"/>
          </w:rPr>
          <w:t>Ethical Conduct for Research Involving</w:t>
        </w:r>
      </w:hyperlink>
    </w:p>
    <w:p w14:paraId="66615363" w14:textId="77777777" w:rsidR="0059101D" w:rsidRDefault="00E30BA8">
      <w:pPr>
        <w:spacing w:after="6" w:line="259" w:lineRule="auto"/>
        <w:ind w:left="-5"/>
      </w:pPr>
      <w:hyperlink r:id="rId12">
        <w:r w:rsidR="007818FA">
          <w:rPr>
            <w:color w:val="1155CC"/>
            <w:u w:val="single" w:color="1155CC"/>
          </w:rPr>
          <w:t>Humans</w:t>
        </w:r>
      </w:hyperlink>
      <w:r w:rsidR="007818FA">
        <w:rPr>
          <w:color w:val="1155CC"/>
          <w:u w:val="single" w:color="1155CC"/>
        </w:rPr>
        <w:t xml:space="preserve"> </w:t>
      </w:r>
      <w:r w:rsidR="007818FA">
        <w:t xml:space="preserve">(specifically </w:t>
      </w:r>
      <w:hyperlink r:id="rId13">
        <w:r w:rsidR="007818FA">
          <w:rPr>
            <w:color w:val="1155CC"/>
            <w:u w:val="single" w:color="1155CC"/>
          </w:rPr>
          <w:t>Chapter 9: Research Involving</w:t>
        </w:r>
      </w:hyperlink>
      <w:r w:rsidR="007818FA">
        <w:rPr>
          <w:color w:val="1155CC"/>
          <w:u w:val="single" w:color="1155CC"/>
        </w:rPr>
        <w:t xml:space="preserve"> </w:t>
      </w:r>
      <w:hyperlink r:id="rId14">
        <w:r w:rsidR="007818FA">
          <w:rPr>
            <w:color w:val="1155CC"/>
            <w:u w:val="single" w:color="1155CC"/>
          </w:rPr>
          <w:t>the First Nations, Inuit and Métis</w:t>
        </w:r>
      </w:hyperlink>
    </w:p>
    <w:p w14:paraId="3EC8F7D9" w14:textId="77777777" w:rsidR="0059101D" w:rsidRDefault="00E30BA8">
      <w:pPr>
        <w:ind w:left="-5"/>
      </w:pPr>
      <w:hyperlink r:id="rId15">
        <w:r w:rsidR="007818FA">
          <w:rPr>
            <w:color w:val="1155CC"/>
            <w:u w:val="single" w:color="1155CC"/>
          </w:rPr>
          <w:t>Peoples of Canada</w:t>
        </w:r>
      </w:hyperlink>
      <w:r w:rsidR="007818FA">
        <w:t>) recognizing the importance of respecting the culture and traditions of Indigenous peoples and acknowledging the necessity to incur expenditures in that regard in the conduct of research, the following expenditures are eligible:</w:t>
      </w:r>
    </w:p>
    <w:p w14:paraId="3ED9157A" w14:textId="77777777" w:rsidR="0059101D" w:rsidRDefault="007818FA">
      <w:pPr>
        <w:numPr>
          <w:ilvl w:val="0"/>
          <w:numId w:val="1"/>
        </w:numPr>
        <w:ind w:hanging="160"/>
      </w:pPr>
      <w:r>
        <w:t xml:space="preserve">costs related to community mobilization and engagement, including culturally relevant promotional items such as tobacco, cloth, feasting and gift-giving for honouring ceremonies, and cash reimbursements (in a method acceptable to the individual or community being reimbursed) to compensate community </w:t>
      </w:r>
      <w:proofErr w:type="gramStart"/>
      <w:r>
        <w:t>participation;</w:t>
      </w:r>
      <w:proofErr w:type="gramEnd"/>
    </w:p>
    <w:p w14:paraId="2919B466" w14:textId="77777777" w:rsidR="0059101D" w:rsidRDefault="007818FA">
      <w:pPr>
        <w:numPr>
          <w:ilvl w:val="0"/>
          <w:numId w:val="1"/>
        </w:numPr>
        <w:ind w:hanging="160"/>
      </w:pPr>
      <w:r>
        <w:t xml:space="preserve">honoraria for Indigenous Elders and community </w:t>
      </w:r>
      <w:proofErr w:type="gramStart"/>
      <w:r>
        <w:t>experts;</w:t>
      </w:r>
      <w:proofErr w:type="gramEnd"/>
    </w:p>
    <w:p w14:paraId="5A2A870B" w14:textId="77777777" w:rsidR="0059101D" w:rsidRDefault="007818FA">
      <w:pPr>
        <w:numPr>
          <w:ilvl w:val="0"/>
          <w:numId w:val="1"/>
        </w:numPr>
        <w:ind w:hanging="160"/>
      </w:pPr>
      <w:r>
        <w:t xml:space="preserve">contracts and/or consultant fees for knowledge translation and communication activities for Indigenous Elders, community members and other Indigenous knowledge-holders involved in activities related to the Indigenous </w:t>
      </w:r>
      <w:proofErr w:type="gramStart"/>
      <w:r>
        <w:t>community;</w:t>
      </w:r>
      <w:proofErr w:type="gramEnd"/>
    </w:p>
    <w:p w14:paraId="2C8B909B" w14:textId="77777777" w:rsidR="0059101D" w:rsidRDefault="007818FA">
      <w:pPr>
        <w:numPr>
          <w:ilvl w:val="0"/>
          <w:numId w:val="1"/>
        </w:numPr>
        <w:ind w:hanging="160"/>
      </w:pPr>
      <w:r>
        <w:t xml:space="preserve">a </w:t>
      </w:r>
      <w:hyperlink r:id="rId16">
        <w:r>
          <w:rPr>
            <w:color w:val="1155CC"/>
            <w:u w:val="single" w:color="1155CC"/>
          </w:rPr>
          <w:t>salary research allowance</w:t>
        </w:r>
      </w:hyperlink>
      <w:r>
        <w:rPr>
          <w:color w:val="1155CC"/>
          <w:u w:val="single" w:color="1155CC"/>
        </w:rPr>
        <w:t xml:space="preserve"> </w:t>
      </w:r>
      <w:r>
        <w:t>to help cover the costs to temporarily replace co-applicants from eligible Indigenous not-for-profit organizations to release them from their duties to the organization.</w:t>
      </w:r>
    </w:p>
    <w:p w14:paraId="01375B76" w14:textId="622EA899" w:rsidR="0059101D" w:rsidRDefault="00EF4440">
      <w:pPr>
        <w:numPr>
          <w:ilvl w:val="0"/>
          <w:numId w:val="1"/>
        </w:numPr>
        <w:spacing w:after="405"/>
        <w:ind w:hanging="160"/>
      </w:pPr>
      <w:r>
        <w:rPr>
          <w:rStyle w:val="ui-provider"/>
        </w:rPr>
        <w:t>In alignment with similar policies from NSERC and other funding agencies, direct project management expenses may be included in the research costs portion of the grant.</w:t>
      </w:r>
      <w:r w:rsidR="007818FA">
        <w:t xml:space="preserve"> The maximum</w:t>
      </w:r>
      <w:r w:rsidR="00E32C33">
        <w:t xml:space="preserve"> amount that may be allocated </w:t>
      </w:r>
      <w:r w:rsidR="007818FA">
        <w:t xml:space="preserve">to project management </w:t>
      </w:r>
      <w:r w:rsidR="00A02A05">
        <w:t>costs</w:t>
      </w:r>
      <w:r w:rsidR="00CC727C">
        <w:t xml:space="preserve"> is</w:t>
      </w:r>
      <w:r w:rsidR="007818FA">
        <w:t xml:space="preserve"> 10% of the</w:t>
      </w:r>
      <w:r w:rsidR="00776901">
        <w:t xml:space="preserve"> value</w:t>
      </w:r>
      <w:r w:rsidR="00D46532">
        <w:t xml:space="preserve"> of the standard cash contribution</w:t>
      </w:r>
      <w:r w:rsidR="00514B08">
        <w:t xml:space="preserve"> </w:t>
      </w:r>
      <w:r w:rsidR="00E93C01">
        <w:t>of the partner organization to the grant, prior to any discounts</w:t>
      </w:r>
      <w:r w:rsidR="00774C50">
        <w:t xml:space="preserve">. </w:t>
      </w:r>
      <w:r w:rsidR="00774C50" w:rsidRPr="40FEB0C1">
        <w:rPr>
          <w:rStyle w:val="ui-provider"/>
        </w:rPr>
        <w:t>(i.e., for a standard Accelerate internship, the partner contribution is $7,500, so 10% or $750 would be available for direct project management expenses.)</w:t>
      </w:r>
      <w:r w:rsidR="00F54CED" w:rsidRPr="40FEB0C1">
        <w:rPr>
          <w:rStyle w:val="ui-provider"/>
        </w:rPr>
        <w:t>.</w:t>
      </w:r>
      <w:r w:rsidR="007818FA">
        <w:t xml:space="preserve"> Please contact your local </w:t>
      </w:r>
      <w:r w:rsidR="44A10375">
        <w:t>Mitacs Advisor</w:t>
      </w:r>
      <w:r w:rsidR="007818FA">
        <w:t xml:space="preserve"> for more information.</w:t>
      </w:r>
    </w:p>
    <w:p w14:paraId="43BC667A" w14:textId="77777777" w:rsidR="0059101D" w:rsidRDefault="007818FA">
      <w:pPr>
        <w:numPr>
          <w:ilvl w:val="0"/>
          <w:numId w:val="1"/>
        </w:numPr>
        <w:ind w:hanging="160"/>
      </w:pPr>
      <w:r>
        <w:lastRenderedPageBreak/>
        <w:t xml:space="preserve">Eligible expenses for </w:t>
      </w:r>
      <w:r>
        <w:rPr>
          <w:b/>
        </w:rPr>
        <w:t xml:space="preserve">colleges </w:t>
      </w:r>
      <w:r>
        <w:t>only, and only for expenses outlined in the project costs portion of the grant:</w:t>
      </w:r>
    </w:p>
    <w:p w14:paraId="2DB44165" w14:textId="5C7AE7B5" w:rsidR="0059101D" w:rsidRDefault="007818FA">
      <w:pPr>
        <w:numPr>
          <w:ilvl w:val="0"/>
          <w:numId w:val="1"/>
        </w:numPr>
        <w:ind w:hanging="160"/>
      </w:pPr>
      <w:r>
        <w:t xml:space="preserve">Costs associated with faculty releases from teaching duties to enable college faculty to supervise student </w:t>
      </w:r>
      <w:r w:rsidR="004F69A5">
        <w:t>projects.</w:t>
      </w:r>
      <w:r>
        <w:t xml:space="preserve"> </w:t>
      </w:r>
    </w:p>
    <w:p w14:paraId="773D9448" w14:textId="77B1499E" w:rsidR="0059101D" w:rsidRDefault="007818FA">
      <w:pPr>
        <w:numPr>
          <w:ilvl w:val="0"/>
          <w:numId w:val="1"/>
        </w:numPr>
        <w:ind w:hanging="160"/>
      </w:pPr>
      <w:r>
        <w:t xml:space="preserve">Costs associated with paying part-time faculty to participate in the </w:t>
      </w:r>
      <w:proofErr w:type="gramStart"/>
      <w:r>
        <w:t>project</w:t>
      </w:r>
      <w:proofErr w:type="gramEnd"/>
      <w:r>
        <w:t xml:space="preserve"> </w:t>
      </w:r>
    </w:p>
    <w:sectPr w:rsidR="0059101D">
      <w:headerReference w:type="default" r:id="rId17"/>
      <w:pgSz w:w="12240" w:h="15840"/>
      <w:pgMar w:top="1440" w:right="117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A8B7" w14:textId="77777777" w:rsidR="003F0BB8" w:rsidRDefault="003F0BB8" w:rsidP="00026BA1">
      <w:pPr>
        <w:spacing w:after="0" w:line="240" w:lineRule="auto"/>
      </w:pPr>
      <w:r>
        <w:separator/>
      </w:r>
    </w:p>
  </w:endnote>
  <w:endnote w:type="continuationSeparator" w:id="0">
    <w:p w14:paraId="33891D8C" w14:textId="77777777" w:rsidR="003F0BB8" w:rsidRDefault="003F0BB8" w:rsidP="000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um Slab Trial">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3106" w14:textId="77777777" w:rsidR="003F0BB8" w:rsidRDefault="003F0BB8" w:rsidP="00026BA1">
      <w:pPr>
        <w:spacing w:after="0" w:line="240" w:lineRule="auto"/>
      </w:pPr>
      <w:r>
        <w:separator/>
      </w:r>
    </w:p>
  </w:footnote>
  <w:footnote w:type="continuationSeparator" w:id="0">
    <w:p w14:paraId="32671C56" w14:textId="77777777" w:rsidR="003F0BB8" w:rsidRDefault="003F0BB8" w:rsidP="0002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32AB" w14:textId="0567604A" w:rsidR="00026BA1" w:rsidRDefault="002C2425">
    <w:pPr>
      <w:pStyle w:val="Header"/>
    </w:pPr>
    <w:r>
      <w:rPr>
        <w:rFonts w:ascii="Album Slab Trial" w:eastAsia="Album Slab Trial" w:hAnsi="Album Slab Trial" w:cs="Album Slab Trial"/>
        <w:noProof/>
      </w:rPr>
      <w:drawing>
        <wp:inline distT="0" distB="0" distL="0" distR="0" wp14:anchorId="34A2C9D5" wp14:editId="6425C6EB">
          <wp:extent cx="1782503" cy="297083"/>
          <wp:effectExtent l="0" t="0" r="0" b="0"/>
          <wp:docPr id="923091387" name="Graphic 923091387"/>
          <wp:cNvGraphicFramePr/>
          <a:graphic xmlns:a="http://schemas.openxmlformats.org/drawingml/2006/main">
            <a:graphicData uri="http://schemas.openxmlformats.org/drawingml/2006/picture">
              <pic:pic xmlns:pic="http://schemas.openxmlformats.org/drawingml/2006/picture">
                <pic:nvPicPr>
                  <pic:cNvPr id="1520660315" name="Picture 1520660315"/>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2503" cy="297083"/>
                  </a:xfrm>
                  <a:prstGeom prst="rect">
                    <a:avLst/>
                  </a:prstGeom>
                </pic:spPr>
              </pic:pic>
            </a:graphicData>
          </a:graphic>
        </wp:inline>
      </w:drawing>
    </w:r>
  </w:p>
  <w:p w14:paraId="77964DF5" w14:textId="77777777" w:rsidR="00026BA1" w:rsidRDefault="0002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234F0"/>
    <w:multiLevelType w:val="hybridMultilevel"/>
    <w:tmpl w:val="4B6E400A"/>
    <w:lvl w:ilvl="0" w:tplc="2C844A22">
      <w:start w:val="1"/>
      <w:numFmt w:val="bullet"/>
      <w:lvlText w:val="*"/>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5E2382">
      <w:start w:val="1"/>
      <w:numFmt w:val="bullet"/>
      <w:lvlText w:val="o"/>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A44AFC">
      <w:start w:val="1"/>
      <w:numFmt w:val="bullet"/>
      <w:lvlText w:val="▪"/>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F2C62C">
      <w:start w:val="1"/>
      <w:numFmt w:val="bullet"/>
      <w:lvlText w:val="•"/>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765A8A">
      <w:start w:val="1"/>
      <w:numFmt w:val="bullet"/>
      <w:lvlText w:val="o"/>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4AF94E">
      <w:start w:val="1"/>
      <w:numFmt w:val="bullet"/>
      <w:lvlText w:val="▪"/>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86D094">
      <w:start w:val="1"/>
      <w:numFmt w:val="bullet"/>
      <w:lvlText w:val="•"/>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2D00">
      <w:start w:val="1"/>
      <w:numFmt w:val="bullet"/>
      <w:lvlText w:val="o"/>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C7388">
      <w:start w:val="1"/>
      <w:numFmt w:val="bullet"/>
      <w:lvlText w:val="▪"/>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5992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1D"/>
    <w:rsid w:val="000167F0"/>
    <w:rsid w:val="00026BA1"/>
    <w:rsid w:val="000C7E18"/>
    <w:rsid w:val="002C2425"/>
    <w:rsid w:val="002D2763"/>
    <w:rsid w:val="003F0BB8"/>
    <w:rsid w:val="004204B8"/>
    <w:rsid w:val="00472A12"/>
    <w:rsid w:val="004F69A5"/>
    <w:rsid w:val="00514B08"/>
    <w:rsid w:val="00552EB0"/>
    <w:rsid w:val="0059101D"/>
    <w:rsid w:val="005C3517"/>
    <w:rsid w:val="006E6F77"/>
    <w:rsid w:val="007150B9"/>
    <w:rsid w:val="00756DE1"/>
    <w:rsid w:val="00774C50"/>
    <w:rsid w:val="00776901"/>
    <w:rsid w:val="007818FA"/>
    <w:rsid w:val="00946985"/>
    <w:rsid w:val="00A02A05"/>
    <w:rsid w:val="00CC43AA"/>
    <w:rsid w:val="00CC727C"/>
    <w:rsid w:val="00D46532"/>
    <w:rsid w:val="00E30BA8"/>
    <w:rsid w:val="00E32C33"/>
    <w:rsid w:val="00E642A9"/>
    <w:rsid w:val="00E93C01"/>
    <w:rsid w:val="00EB3656"/>
    <w:rsid w:val="00EF4440"/>
    <w:rsid w:val="00F36CEA"/>
    <w:rsid w:val="00F54CED"/>
    <w:rsid w:val="40FEB0C1"/>
    <w:rsid w:val="44A103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D8D10"/>
  <w15:docId w15:val="{EDF11191-1D69-429D-BD80-0AD9A945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56"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BA1"/>
    <w:rPr>
      <w:rFonts w:ascii="Arial" w:eastAsia="Arial" w:hAnsi="Arial" w:cs="Arial"/>
      <w:color w:val="000000"/>
      <w:sz w:val="24"/>
    </w:rPr>
  </w:style>
  <w:style w:type="paragraph" w:styleId="Footer">
    <w:name w:val="footer"/>
    <w:basedOn w:val="Normal"/>
    <w:link w:val="FooterChar"/>
    <w:uiPriority w:val="99"/>
    <w:unhideWhenUsed/>
    <w:rsid w:val="000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BA1"/>
    <w:rPr>
      <w:rFonts w:ascii="Arial" w:eastAsia="Arial" w:hAnsi="Arial" w:cs="Arial"/>
      <w:color w:val="000000"/>
      <w:sz w:val="24"/>
    </w:rPr>
  </w:style>
  <w:style w:type="paragraph" w:styleId="Revision">
    <w:name w:val="Revision"/>
    <w:hidden/>
    <w:uiPriority w:val="99"/>
    <w:semiHidden/>
    <w:rsid w:val="00756DE1"/>
    <w:pPr>
      <w:spacing w:after="0" w:line="240" w:lineRule="auto"/>
    </w:pPr>
    <w:rPr>
      <w:rFonts w:ascii="Arial" w:eastAsia="Arial" w:hAnsi="Arial" w:cs="Arial"/>
      <w:color w:val="000000"/>
      <w:sz w:val="24"/>
    </w:rPr>
  </w:style>
  <w:style w:type="character" w:customStyle="1" w:styleId="ui-provider">
    <w:name w:val="ui-provider"/>
    <w:basedOn w:val="DefaultParagraphFont"/>
    <w:rsid w:val="0077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hics.gc.ca/eng/tcps2-eptc2_2018_chapter9-chapitre9.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thics.gc.ca/eng/policy-politique_tcps2-eptc2_201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shrc-crsh.gc.ca/funding-financement/policies-politiques/g_stipends-s_indemnite-eng.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hics.gc.ca/eng/policy-politique_tcps2-eptc2_2018.html" TargetMode="External"/><Relationship Id="rId5" Type="http://schemas.openxmlformats.org/officeDocument/2006/relationships/settings" Target="settings.xml"/><Relationship Id="rId15" Type="http://schemas.openxmlformats.org/officeDocument/2006/relationships/hyperlink" Target="https://ethics.gc.ca/eng/tcps2-eptc2_2018_chapter9-chapitre9.html" TargetMode="External"/><Relationship Id="rId10" Type="http://schemas.openxmlformats.org/officeDocument/2006/relationships/hyperlink" Target="https://ethics.gc.ca/eng/policy-politique_tcps2-eptc2_2018.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serc-crsng.gc.ca/InterAgency-Interorganismes/TAFA-AFTO/index_eng.asp" TargetMode="External"/><Relationship Id="rId14"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ADCBBCA8A924F8AA2D760858F6A8E" ma:contentTypeVersion="20" ma:contentTypeDescription="Create a new document." ma:contentTypeScope="" ma:versionID="90abdd4f6c09e061f863e10ac072500b">
  <xsd:schema xmlns:xsd="http://www.w3.org/2001/XMLSchema" xmlns:xs="http://www.w3.org/2001/XMLSchema" xmlns:p="http://schemas.microsoft.com/office/2006/metadata/properties" xmlns:ns2="556aaa2c-5e31-4f32-bdbc-e9233393b0b6" xmlns:ns3="1eabf524-bf56-493c-9846-11497f2ca325" xmlns:ns4="http://schemas.microsoft.com/sharepoint/v3/fields" targetNamespace="http://schemas.microsoft.com/office/2006/metadata/properties" ma:root="true" ma:fieldsID="f0ad31881c649c6be041e8ad567125d1" ns2:_="" ns3:_="" ns4:_="">
    <xsd:import namespace="556aaa2c-5e31-4f32-bdbc-e9233393b0b6"/>
    <xsd:import namespace="1eabf524-bf56-493c-9846-11497f2ca32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_DCDateCreated"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aa2c-5e31-4f32-bdbc-e9233393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bf524-bf56-493c-9846-11497f2ca3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a64cae-cdc1-4b40-8f8d-41f6cca42b12}" ma:internalName="TaxCatchAll" ma:showField="CatchAllData" ma:web="1eabf524-bf56-493c-9846-11497f2c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C67E8-8D0B-4429-B46B-2EBC6D2ABC1D}">
  <ds:schemaRefs>
    <ds:schemaRef ds:uri="http://schemas.microsoft.com/sharepoint/v3/contenttype/forms"/>
  </ds:schemaRefs>
</ds:datastoreItem>
</file>

<file path=customXml/itemProps2.xml><?xml version="1.0" encoding="utf-8"?>
<ds:datastoreItem xmlns:ds="http://schemas.openxmlformats.org/officeDocument/2006/customXml" ds:itemID="{29C97FE5-7A27-4427-B02A-731CE7413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aa2c-5e31-4f32-bdbc-e9233393b0b6"/>
    <ds:schemaRef ds:uri="1eabf524-bf56-493c-9846-11497f2ca32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4</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UseOfFunds ENG.docx</dc:title>
  <dc:subject/>
  <dc:creator>Rosalie Belibi</dc:creator>
  <cp:keywords/>
  <cp:lastModifiedBy>Will Lacasse</cp:lastModifiedBy>
  <cp:revision>2</cp:revision>
  <dcterms:created xsi:type="dcterms:W3CDTF">2024-03-13T16:53:00Z</dcterms:created>
  <dcterms:modified xsi:type="dcterms:W3CDTF">2024-03-13T16:53:00Z</dcterms:modified>
</cp:coreProperties>
</file>