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0472" w14:textId="6A372173" w:rsidR="00992687" w:rsidRPr="00886474" w:rsidRDefault="00992687" w:rsidP="004C1E04">
      <w:pPr>
        <w:rPr>
          <w:b/>
          <w:sz w:val="28"/>
          <w:szCs w:val="28"/>
        </w:rPr>
      </w:pPr>
      <w:bookmarkStart w:id="0" w:name="_Hlk11059029"/>
      <w:r>
        <w:rPr>
          <w:b/>
          <w:sz w:val="28"/>
          <w:szCs w:val="28"/>
        </w:rPr>
        <w:t>M</w:t>
      </w:r>
      <w:r w:rsidR="009E30AF">
        <w:rPr>
          <w:b/>
          <w:sz w:val="28"/>
          <w:szCs w:val="28"/>
        </w:rPr>
        <w:t>itacs</w:t>
      </w:r>
      <w:r>
        <w:rPr>
          <w:b/>
          <w:sz w:val="28"/>
          <w:szCs w:val="28"/>
        </w:rPr>
        <w:t xml:space="preserve"> </w:t>
      </w:r>
      <w:sdt>
        <w:sdtPr>
          <w:rPr>
            <w:b/>
            <w:sz w:val="28"/>
            <w:szCs w:val="28"/>
          </w:rPr>
          <w:alias w:val="Abstract"/>
          <w:tag w:val=""/>
          <w:id w:val="900787737"/>
          <w:placeholder>
            <w:docPart w:val="4C7527703985450BA684D9E3DB43ED28"/>
          </w:placeholder>
          <w:dataBinding w:prefixMappings="xmlns:ns0='http://schemas.microsoft.com/office/2006/coverPageProps' " w:xpath="/ns0:CoverPageProperties[1]/ns0:Abstract[1]" w:storeItemID="{55AF091B-3C7A-41E3-B477-F2FDAA23CFDA}"/>
          <w:text/>
        </w:sdtPr>
        <w:sdtEndPr/>
        <w:sdtContent>
          <w:r w:rsidR="006F0834">
            <w:rPr>
              <w:b/>
              <w:sz w:val="28"/>
              <w:szCs w:val="28"/>
            </w:rPr>
            <w:t>Whistleblower</w:t>
          </w:r>
        </w:sdtContent>
      </w:sdt>
      <w:r w:rsidR="00AB3EBD">
        <w:rPr>
          <w:b/>
          <w:sz w:val="28"/>
          <w:szCs w:val="28"/>
        </w:rPr>
        <w:t xml:space="preserve"> </w:t>
      </w:r>
      <w:r>
        <w:rPr>
          <w:b/>
          <w:sz w:val="28"/>
          <w:szCs w:val="28"/>
        </w:rPr>
        <w:t>P</w:t>
      </w:r>
      <w:r w:rsidR="009E30AF">
        <w:rPr>
          <w:b/>
          <w:sz w:val="28"/>
          <w:szCs w:val="28"/>
        </w:rPr>
        <w:t>olicy</w:t>
      </w:r>
    </w:p>
    <w:p w14:paraId="647F723D" w14:textId="77777777" w:rsidR="00AE33F4" w:rsidRPr="002B117A" w:rsidRDefault="004B4C01" w:rsidP="002B117A">
      <w:pPr>
        <w:pStyle w:val="Policytemplatetitle"/>
      </w:pPr>
      <w:bookmarkStart w:id="1" w:name="_Toc135983526"/>
      <w:r w:rsidRPr="002B117A">
        <w:t xml:space="preserve">1.0 </w:t>
      </w:r>
      <w:bookmarkStart w:id="2" w:name="Introduction"/>
      <w:r w:rsidR="00910A44" w:rsidRPr="002B117A">
        <w:fldChar w:fldCharType="begin"/>
      </w:r>
      <w:r w:rsidR="002B109A" w:rsidRPr="002B117A">
        <w:instrText>HYPERLINK "https://mitacs.sharepoint.com/sites/grp-admin-corpgovernance/Policy Process Documents/Creating a new policy/NA" \o "Include an introduction for your policy"</w:instrText>
      </w:r>
      <w:r w:rsidR="00910A44" w:rsidRPr="002B117A">
        <w:fldChar w:fldCharType="separate"/>
      </w:r>
      <w:bookmarkEnd w:id="2"/>
      <w:r w:rsidR="00926A9F">
        <w:rPr>
          <w:rStyle w:val="Hyperlink"/>
          <w:u w:val="none"/>
        </w:rPr>
        <w:t>Introduction</w:t>
      </w:r>
      <w:bookmarkEnd w:id="1"/>
      <w:r w:rsidR="00910A44" w:rsidRPr="002B117A">
        <w:fldChar w:fldCharType="end"/>
      </w:r>
    </w:p>
    <w:p w14:paraId="294538F9" w14:textId="74C25360" w:rsidR="00772E22" w:rsidRDefault="00772E22" w:rsidP="00772E22">
      <w:r>
        <w:t>As an organization that is the beneficiary of public funding, Mitacs is committed to the highest level of transparency, accountability, and integrity in everything we do</w:t>
      </w:r>
      <w:r w:rsidR="00F04FB7">
        <w:t xml:space="preserve"> including the management of public funds</w:t>
      </w:r>
      <w:r>
        <w:t>.</w:t>
      </w:r>
    </w:p>
    <w:p w14:paraId="5FA76479" w14:textId="0E289371" w:rsidR="00772E22" w:rsidRDefault="00E83DAE" w:rsidP="00772E22">
      <w:r>
        <w:t xml:space="preserve">The </w:t>
      </w:r>
      <w:r w:rsidR="00772E22">
        <w:t xml:space="preserve">Mitacs Ethics Policy and Guidelines requires directors, officers, </w:t>
      </w:r>
      <w:r w:rsidR="00BF4589">
        <w:t>employees,</w:t>
      </w:r>
      <w:r w:rsidR="00772E22">
        <w:t xml:space="preserve"> </w:t>
      </w:r>
      <w:r w:rsidR="00B962C5">
        <w:t xml:space="preserve">and contractors </w:t>
      </w:r>
      <w:r w:rsidR="00772E22">
        <w:t xml:space="preserve">to observe high standards of business and personal ethics in the conduct of their duties and responsibilities on behalf of Mitacs. </w:t>
      </w:r>
      <w:r w:rsidR="00BB3066">
        <w:t>The</w:t>
      </w:r>
      <w:r w:rsidR="003E097E">
        <w:t xml:space="preserve"> Mitacs Values, Code of Conduct, and </w:t>
      </w:r>
      <w:r w:rsidR="000B427E">
        <w:t xml:space="preserve">corporate policies </w:t>
      </w:r>
      <w:r w:rsidR="0090715E">
        <w:t xml:space="preserve">are designed to guide the </w:t>
      </w:r>
      <w:r w:rsidR="00865C0A">
        <w:t xml:space="preserve">everyday conduct of the </w:t>
      </w:r>
      <w:r w:rsidR="00BA4B24">
        <w:t>organization’s</w:t>
      </w:r>
      <w:r w:rsidR="00865C0A">
        <w:t xml:space="preserve"> Members</w:t>
      </w:r>
      <w:r w:rsidR="00BA4B24">
        <w:t xml:space="preserve">. </w:t>
      </w:r>
      <w:r w:rsidR="00772E22">
        <w:t xml:space="preserve">As </w:t>
      </w:r>
      <w:r w:rsidR="00557C5B">
        <w:t xml:space="preserve">Members </w:t>
      </w:r>
      <w:r w:rsidR="00772E22">
        <w:t>and representatives of the organization, M</w:t>
      </w:r>
      <w:r w:rsidR="00D97AAA">
        <w:t xml:space="preserve">embers </w:t>
      </w:r>
      <w:r w:rsidR="00772E22">
        <w:t xml:space="preserve">and others acting on behalf of Mitacs must </w:t>
      </w:r>
      <w:r w:rsidR="006F6B68">
        <w:t xml:space="preserve">practice </w:t>
      </w:r>
      <w:r w:rsidR="00772E22">
        <w:t>honesty and integrity in fulfilling their responsibilities and comply with all applicable laws and regulations.</w:t>
      </w:r>
    </w:p>
    <w:p w14:paraId="7B40D977" w14:textId="396C88DF" w:rsidR="00A21CC0" w:rsidRDefault="00772E22" w:rsidP="00A21CC0">
      <w:r>
        <w:t xml:space="preserve">This policy establishes protections and processes for those </w:t>
      </w:r>
      <w:r w:rsidR="00995936">
        <w:t>Members</w:t>
      </w:r>
      <w:r w:rsidR="00BF4589">
        <w:t xml:space="preserve">, </w:t>
      </w:r>
      <w:proofErr w:type="gramStart"/>
      <w:r w:rsidR="00BF4589">
        <w:t>Contractors</w:t>
      </w:r>
      <w:proofErr w:type="gramEnd"/>
      <w:r>
        <w:t xml:space="preserve"> </w:t>
      </w:r>
      <w:r w:rsidR="00BF4589">
        <w:t xml:space="preserve">or Stakeholders </w:t>
      </w:r>
      <w:r>
        <w:t>of Mitacs who report suspected violations of applicable law and the Mitacs Ethics Policy and Guidelines</w:t>
      </w:r>
      <w:r w:rsidR="00242160">
        <w:t xml:space="preserve">, and a means by which </w:t>
      </w:r>
      <w:r w:rsidR="00062C0C">
        <w:t xml:space="preserve">Contractors or </w:t>
      </w:r>
      <w:r w:rsidR="00242160">
        <w:t xml:space="preserve">Stakeholders may </w:t>
      </w:r>
      <w:r w:rsidR="004773B5">
        <w:t xml:space="preserve">report </w:t>
      </w:r>
      <w:r w:rsidR="006068FD" w:rsidRPr="006068FD">
        <w:t xml:space="preserve">suspected violations of applicable law </w:t>
      </w:r>
      <w:bookmarkStart w:id="3" w:name="_Hlk148966766"/>
      <w:r w:rsidR="00F76685">
        <w:t>or</w:t>
      </w:r>
      <w:r w:rsidR="00FF74D5">
        <w:t xml:space="preserve"> </w:t>
      </w:r>
      <w:r w:rsidR="006068FD" w:rsidRPr="006068FD">
        <w:t>the Mitacs Ethics Policy and Guidelines</w:t>
      </w:r>
      <w:r w:rsidR="00FF74D5">
        <w:t>, including mismanagement of public funds</w:t>
      </w:r>
      <w:r w:rsidR="006068FD">
        <w:t>.</w:t>
      </w:r>
    </w:p>
    <w:p w14:paraId="01E3A87D" w14:textId="30FD4E94" w:rsidR="00992687" w:rsidRDefault="009D1999" w:rsidP="00A21CC0">
      <w:pPr>
        <w:pStyle w:val="Policytemplatetitle"/>
      </w:pPr>
      <w:bookmarkStart w:id="4" w:name="_Toc135983527"/>
      <w:bookmarkEnd w:id="3"/>
      <w:r>
        <w:t>2</w:t>
      </w:r>
      <w:r w:rsidR="004B4C01">
        <w:t>.0 S</w:t>
      </w:r>
      <w:r w:rsidR="00926A9F">
        <w:t>cope</w:t>
      </w:r>
      <w:bookmarkEnd w:id="4"/>
    </w:p>
    <w:p w14:paraId="6398D443" w14:textId="77777777" w:rsidR="001332ED" w:rsidRDefault="001332ED" w:rsidP="00AE3CAE">
      <w:pPr>
        <w:spacing w:after="0"/>
      </w:pPr>
      <w:r>
        <w:t>This Policy and its procedures apply to:</w:t>
      </w:r>
    </w:p>
    <w:p w14:paraId="7913F942" w14:textId="7F972051" w:rsidR="001332ED" w:rsidRDefault="001332ED" w:rsidP="001332ED">
      <w:pPr>
        <w:pStyle w:val="ListParagraph"/>
        <w:numPr>
          <w:ilvl w:val="0"/>
          <w:numId w:val="10"/>
        </w:numPr>
      </w:pPr>
      <w:r>
        <w:t xml:space="preserve">All Mitacs employees and contracted </w:t>
      </w:r>
      <w:proofErr w:type="gramStart"/>
      <w:r>
        <w:t>staff;</w:t>
      </w:r>
      <w:proofErr w:type="gramEnd"/>
      <w:r>
        <w:t xml:space="preserve"> </w:t>
      </w:r>
    </w:p>
    <w:p w14:paraId="09FDF992" w14:textId="518D7613" w:rsidR="001332ED" w:rsidRPr="00E81842" w:rsidRDefault="001332ED" w:rsidP="008F068B">
      <w:pPr>
        <w:pStyle w:val="ListParagraph"/>
        <w:numPr>
          <w:ilvl w:val="0"/>
          <w:numId w:val="10"/>
        </w:numPr>
      </w:pPr>
      <w:r>
        <w:t>Members of the Board of Directors</w:t>
      </w:r>
      <w:r w:rsidRPr="00706473">
        <w:rPr>
          <w:rFonts w:ascii="Calibri" w:hAnsi="Calibri"/>
          <w:shd w:val="clear" w:color="auto" w:fill="FFFFFF"/>
        </w:rPr>
        <w:t xml:space="preserve"> </w:t>
      </w:r>
      <w:r>
        <w:rPr>
          <w:rFonts w:ascii="Calibri" w:hAnsi="Calibri"/>
          <w:shd w:val="clear" w:color="auto" w:fill="FFFFFF"/>
        </w:rPr>
        <w:t>(collectively “Members”)</w:t>
      </w:r>
      <w:r w:rsidR="00563492">
        <w:t>; and</w:t>
      </w:r>
    </w:p>
    <w:p w14:paraId="34020D5E" w14:textId="1EC32E73" w:rsidR="00E81842" w:rsidRPr="00CC5843" w:rsidRDefault="00E81842" w:rsidP="008F068B">
      <w:pPr>
        <w:pStyle w:val="ListParagraph"/>
        <w:numPr>
          <w:ilvl w:val="0"/>
          <w:numId w:val="10"/>
        </w:numPr>
      </w:pPr>
      <w:r>
        <w:rPr>
          <w:rFonts w:ascii="Calibri" w:hAnsi="Calibri"/>
          <w:shd w:val="clear" w:color="auto" w:fill="FFFFFF"/>
        </w:rPr>
        <w:t>Contractors engaged by Mitacs</w:t>
      </w:r>
      <w:r w:rsidR="00563492">
        <w:rPr>
          <w:rFonts w:ascii="Calibri" w:hAnsi="Calibri"/>
          <w:shd w:val="clear" w:color="auto" w:fill="FFFFFF"/>
        </w:rPr>
        <w:t xml:space="preserve"> (“Contractors”</w:t>
      </w:r>
      <w:r w:rsidR="00BA3FF3">
        <w:rPr>
          <w:rFonts w:ascii="Calibri" w:hAnsi="Calibri"/>
          <w:shd w:val="clear" w:color="auto" w:fill="FFFFFF"/>
        </w:rPr>
        <w:t>)</w:t>
      </w:r>
    </w:p>
    <w:p w14:paraId="670DA0B7" w14:textId="5CE5F278" w:rsidR="00CC5843" w:rsidRPr="00650446" w:rsidRDefault="00CC5843" w:rsidP="00CC5843">
      <w:r>
        <w:t>In addition, Interns who partici</w:t>
      </w:r>
      <w:r w:rsidR="008C4AE2">
        <w:t>pate in Mitacs Programs</w:t>
      </w:r>
      <w:r w:rsidR="00EC176D">
        <w:t>, International Partners who have contracts with Mitacs</w:t>
      </w:r>
      <w:r w:rsidR="008C4AE2">
        <w:t xml:space="preserve"> and Post Secondary Institutions who have </w:t>
      </w:r>
      <w:r w:rsidR="00CE36DC">
        <w:t>contracts with Mitacs</w:t>
      </w:r>
      <w:r w:rsidR="00EC176D">
        <w:t xml:space="preserve"> (</w:t>
      </w:r>
      <w:r w:rsidR="00796C47">
        <w:t>collectively “Stakeholders”)</w:t>
      </w:r>
      <w:r w:rsidR="00F76685">
        <w:t xml:space="preserve"> may report suspected violations of applicable law</w:t>
      </w:r>
      <w:r w:rsidR="00FF74D5">
        <w:t xml:space="preserve"> </w:t>
      </w:r>
      <w:r w:rsidR="00FF74D5" w:rsidRPr="00FF74D5">
        <w:t>or the Mitacs Ethics Policy and Guidelines, including mismanagement of public funds.</w:t>
      </w:r>
    </w:p>
    <w:p w14:paraId="07166FBF" w14:textId="5600CDBD" w:rsidR="00992687" w:rsidRDefault="009D1999" w:rsidP="00A21CC0">
      <w:pPr>
        <w:pStyle w:val="Policytemplatetitle"/>
      </w:pPr>
      <w:bookmarkStart w:id="5" w:name="_Toc135983528"/>
      <w:bookmarkEnd w:id="0"/>
      <w:r>
        <w:t>3</w:t>
      </w:r>
      <w:r w:rsidR="004B4C01">
        <w:t>.0 P</w:t>
      </w:r>
      <w:r w:rsidR="00926A9F">
        <w:t>olicy</w:t>
      </w:r>
      <w:bookmarkEnd w:id="5"/>
    </w:p>
    <w:p w14:paraId="2CD242ED" w14:textId="1944612B" w:rsidR="003114EF" w:rsidRPr="007F716B" w:rsidRDefault="003114EF" w:rsidP="00F2122F">
      <w:pPr>
        <w:pStyle w:val="Heading2"/>
      </w:pPr>
      <w:r>
        <w:t>1.00</w:t>
      </w:r>
      <w:r>
        <w:tab/>
      </w:r>
      <w:r w:rsidR="00D83330">
        <w:t xml:space="preserve">Roles </w:t>
      </w:r>
      <w:r w:rsidR="00E83DAE">
        <w:t>and</w:t>
      </w:r>
      <w:r w:rsidR="00D83330" w:rsidRPr="007F716B">
        <w:t xml:space="preserve"> </w:t>
      </w:r>
      <w:r w:rsidR="00880C14">
        <w:t>Responsibilities</w:t>
      </w:r>
    </w:p>
    <w:p w14:paraId="195E5BFC" w14:textId="27FE694E" w:rsidR="003114EF" w:rsidRDefault="003114EF" w:rsidP="00F2122F">
      <w:pPr>
        <w:spacing w:after="0"/>
      </w:pPr>
      <w:r>
        <w:t xml:space="preserve">1.01 </w:t>
      </w:r>
      <w:r>
        <w:tab/>
        <w:t xml:space="preserve">It is the responsibility of all </w:t>
      </w:r>
      <w:r w:rsidR="00F730E1">
        <w:t>Members</w:t>
      </w:r>
      <w:r>
        <w:t xml:space="preserve"> and persons acting on behalf of Mitacs to comply with applicable law and the Ethics Policy and Guidelines and </w:t>
      </w:r>
      <w:r w:rsidR="008C3C1E">
        <w:t xml:space="preserve">for Members </w:t>
      </w:r>
      <w:r>
        <w:t xml:space="preserve">to report noncompliance or suspected noncompliance in accordance with this Whistleblower Policy. For the purposes of this policy, the following </w:t>
      </w:r>
      <w:r w:rsidR="0013783D">
        <w:t xml:space="preserve">Committees </w:t>
      </w:r>
      <w:r>
        <w:t>and offices have the designated responsibilities:</w:t>
      </w:r>
    </w:p>
    <w:p w14:paraId="53FB9CE0" w14:textId="0BDED7C4" w:rsidR="003114EF" w:rsidRDefault="003114EF" w:rsidP="003114EF">
      <w:pPr>
        <w:pStyle w:val="ListParagraph"/>
        <w:numPr>
          <w:ilvl w:val="0"/>
          <w:numId w:val="8"/>
        </w:numPr>
        <w:spacing w:after="160" w:line="259" w:lineRule="auto"/>
      </w:pPr>
      <w:r>
        <w:t xml:space="preserve">The Mitacs Governance Committee of the </w:t>
      </w:r>
      <w:r w:rsidR="00F730E1">
        <w:t>B</w:t>
      </w:r>
      <w:r>
        <w:t xml:space="preserve">oard of </w:t>
      </w:r>
      <w:r w:rsidR="00F730E1">
        <w:t>D</w:t>
      </w:r>
      <w:r>
        <w:t>irectors (herein the “Governance Committee”) has overall responsibility for the Ethics Policy and Guidelines and this Whistleblower Policy</w:t>
      </w:r>
      <w:r w:rsidR="007F0A45">
        <w:t>.</w:t>
      </w:r>
    </w:p>
    <w:p w14:paraId="68CD04CD" w14:textId="7F083BD6" w:rsidR="00933B64" w:rsidRDefault="00933B64" w:rsidP="003114EF">
      <w:pPr>
        <w:pStyle w:val="ListParagraph"/>
        <w:numPr>
          <w:ilvl w:val="0"/>
          <w:numId w:val="8"/>
        </w:numPr>
        <w:spacing w:after="160" w:line="259" w:lineRule="auto"/>
      </w:pPr>
      <w:r>
        <w:lastRenderedPageBreak/>
        <w:t>The Mitacs Audit</w:t>
      </w:r>
      <w:r w:rsidR="5207D29C">
        <w:t>,</w:t>
      </w:r>
      <w:r>
        <w:t xml:space="preserve"> </w:t>
      </w:r>
      <w:r w:rsidR="5207D29C">
        <w:t xml:space="preserve">Finance, </w:t>
      </w:r>
      <w:r w:rsidR="00E83DAE">
        <w:t>and</w:t>
      </w:r>
      <w:r w:rsidR="5207D29C">
        <w:t xml:space="preserve"> Technology</w:t>
      </w:r>
      <w:r w:rsidR="24BDD24A">
        <w:t xml:space="preserve"> </w:t>
      </w:r>
      <w:r>
        <w:t xml:space="preserve">Committee </w:t>
      </w:r>
      <w:r w:rsidR="07DA54FB">
        <w:t>(</w:t>
      </w:r>
      <w:r w:rsidR="6767B394">
        <w:t xml:space="preserve">herein the </w:t>
      </w:r>
      <w:r w:rsidR="458212AC">
        <w:t>“</w:t>
      </w:r>
      <w:r w:rsidR="6401015A">
        <w:t>Audit Committee</w:t>
      </w:r>
      <w:r w:rsidR="0080484A">
        <w:t>”</w:t>
      </w:r>
      <w:r w:rsidR="6401015A">
        <w:t>)</w:t>
      </w:r>
      <w:r w:rsidR="24BDD24A">
        <w:t xml:space="preserve"> </w:t>
      </w:r>
      <w:r>
        <w:t xml:space="preserve">has the overall responsibility </w:t>
      </w:r>
      <w:r w:rsidR="007F0A45">
        <w:t>for proper financial management including</w:t>
      </w:r>
      <w:r>
        <w:t xml:space="preserve"> </w:t>
      </w:r>
      <w:r w:rsidR="00102DCB">
        <w:t>retaining</w:t>
      </w:r>
      <w:r w:rsidR="00C0423A">
        <w:t xml:space="preserve"> all records relating to any concern or report </w:t>
      </w:r>
      <w:r w:rsidR="001E4816">
        <w:t>raised and</w:t>
      </w:r>
      <w:r w:rsidR="00102DCB">
        <w:t xml:space="preserve"> to the investigation of any such report</w:t>
      </w:r>
      <w:r w:rsidR="007F0A45">
        <w:t>.</w:t>
      </w:r>
    </w:p>
    <w:p w14:paraId="33E45911" w14:textId="4E05EA70" w:rsidR="00DF4664" w:rsidRDefault="003114EF" w:rsidP="00DF4664">
      <w:pPr>
        <w:pStyle w:val="ListParagraph"/>
        <w:numPr>
          <w:ilvl w:val="0"/>
          <w:numId w:val="8"/>
        </w:numPr>
        <w:spacing w:after="160" w:line="259" w:lineRule="auto"/>
      </w:pPr>
      <w:r>
        <w:t xml:space="preserve">The person holding the </w:t>
      </w:r>
      <w:r w:rsidR="00CB0912">
        <w:t xml:space="preserve">office of Chair of the Governance Committee is appointed the compliance officer </w:t>
      </w:r>
      <w:r>
        <w:t xml:space="preserve">for the purposes of this </w:t>
      </w:r>
      <w:r w:rsidR="003B2C79">
        <w:t>Policy.</w:t>
      </w:r>
    </w:p>
    <w:p w14:paraId="3C7D86F0" w14:textId="295372A0" w:rsidR="00DF4664" w:rsidRDefault="00DF4664" w:rsidP="00F2122F">
      <w:pPr>
        <w:pStyle w:val="ListParagraph"/>
        <w:numPr>
          <w:ilvl w:val="0"/>
          <w:numId w:val="8"/>
        </w:numPr>
        <w:spacing w:after="160" w:line="259" w:lineRule="auto"/>
      </w:pPr>
      <w:r w:rsidRPr="008F068B">
        <w:rPr>
          <w:rFonts w:eastAsia="Tahoma"/>
          <w:color w:val="000000"/>
          <w:spacing w:val="6"/>
        </w:rPr>
        <w:t xml:space="preserve">The Mitacs Management </w:t>
      </w:r>
      <w:r w:rsidR="00CB5ED4" w:rsidRPr="001221EC">
        <w:rPr>
          <w:rFonts w:eastAsia="Tahoma"/>
          <w:color w:val="000000"/>
          <w:spacing w:val="6"/>
        </w:rPr>
        <w:t xml:space="preserve">and Leadership </w:t>
      </w:r>
      <w:r w:rsidRPr="001221EC">
        <w:rPr>
          <w:rFonts w:eastAsia="Tahoma"/>
          <w:color w:val="000000"/>
          <w:spacing w:val="6"/>
        </w:rPr>
        <w:t xml:space="preserve">Team, which includes the Executive Management Team (EMT), </w:t>
      </w:r>
      <w:r w:rsidR="00CB5ED4" w:rsidRPr="001221EC">
        <w:rPr>
          <w:rFonts w:eastAsia="Tahoma"/>
          <w:color w:val="000000"/>
          <w:spacing w:val="6"/>
        </w:rPr>
        <w:t xml:space="preserve">and </w:t>
      </w:r>
      <w:r w:rsidRPr="001221EC">
        <w:rPr>
          <w:rFonts w:eastAsia="Tahoma"/>
          <w:color w:val="000000"/>
          <w:spacing w:val="6"/>
        </w:rPr>
        <w:t xml:space="preserve">the </w:t>
      </w:r>
      <w:r w:rsidR="00CB5ED4" w:rsidRPr="001221EC">
        <w:rPr>
          <w:rFonts w:eastAsia="Tahoma"/>
          <w:color w:val="000000"/>
          <w:spacing w:val="6"/>
        </w:rPr>
        <w:t>Vice-Presidents</w:t>
      </w:r>
      <w:r w:rsidRPr="001221EC">
        <w:rPr>
          <w:rFonts w:eastAsia="Tahoma"/>
          <w:color w:val="000000"/>
          <w:spacing w:val="6"/>
        </w:rPr>
        <w:t xml:space="preserve"> (</w:t>
      </w:r>
      <w:r w:rsidR="00CB5ED4" w:rsidRPr="001221EC">
        <w:rPr>
          <w:rFonts w:eastAsia="Tahoma"/>
          <w:color w:val="000000"/>
          <w:spacing w:val="6"/>
        </w:rPr>
        <w:t>VPs</w:t>
      </w:r>
      <w:r w:rsidRPr="001221EC">
        <w:rPr>
          <w:rFonts w:eastAsia="Tahoma"/>
          <w:color w:val="000000"/>
          <w:spacing w:val="6"/>
        </w:rPr>
        <w:t>)</w:t>
      </w:r>
      <w:r w:rsidRPr="008F068B">
        <w:rPr>
          <w:rFonts w:eastAsia="Tahoma"/>
          <w:color w:val="000000"/>
          <w:spacing w:val="6"/>
        </w:rPr>
        <w:t xml:space="preserve"> </w:t>
      </w:r>
      <w:r w:rsidR="0013031C">
        <w:rPr>
          <w:rFonts w:eastAsia="Tahoma"/>
          <w:color w:val="000000"/>
          <w:spacing w:val="6"/>
        </w:rPr>
        <w:t>are required to</w:t>
      </w:r>
      <w:r w:rsidR="00003DEF">
        <w:rPr>
          <w:rFonts w:eastAsia="Tahoma"/>
          <w:color w:val="000000"/>
          <w:spacing w:val="6"/>
        </w:rPr>
        <w:t xml:space="preserve"> encourage open discussion and resolution of all concerns</w:t>
      </w:r>
      <w:r w:rsidR="0080484A">
        <w:rPr>
          <w:rFonts w:eastAsia="Tahoma"/>
          <w:color w:val="000000"/>
          <w:spacing w:val="6"/>
        </w:rPr>
        <w:t xml:space="preserve">, </w:t>
      </w:r>
      <w:r w:rsidR="00003DEF">
        <w:rPr>
          <w:rFonts w:eastAsia="Tahoma"/>
          <w:color w:val="000000"/>
          <w:spacing w:val="6"/>
        </w:rPr>
        <w:t xml:space="preserve">promptly communicate to the </w:t>
      </w:r>
      <w:r w:rsidR="000F3142">
        <w:rPr>
          <w:rFonts w:eastAsia="Tahoma"/>
          <w:color w:val="000000"/>
          <w:spacing w:val="6"/>
        </w:rPr>
        <w:t>Chair of the Governance Committee when they become aware of a Whistleblower complaint</w:t>
      </w:r>
      <w:r w:rsidR="006B1CC6">
        <w:rPr>
          <w:rFonts w:eastAsia="Tahoma"/>
          <w:color w:val="000000"/>
          <w:spacing w:val="6"/>
        </w:rPr>
        <w:t>,</w:t>
      </w:r>
      <w:r w:rsidR="00E902D5">
        <w:rPr>
          <w:rFonts w:eastAsia="Tahoma"/>
          <w:color w:val="000000"/>
          <w:spacing w:val="6"/>
        </w:rPr>
        <w:t xml:space="preserve"> and </w:t>
      </w:r>
      <w:r w:rsidR="00307A2C">
        <w:rPr>
          <w:rFonts w:eastAsia="Tahoma"/>
          <w:color w:val="000000"/>
          <w:spacing w:val="6"/>
        </w:rPr>
        <w:t xml:space="preserve">provide support and assistance to the </w:t>
      </w:r>
      <w:r w:rsidR="008C3276">
        <w:rPr>
          <w:rFonts w:eastAsia="Tahoma"/>
          <w:color w:val="000000"/>
          <w:spacing w:val="6"/>
        </w:rPr>
        <w:t>person making the complaint</w:t>
      </w:r>
      <w:r w:rsidR="00307A2C">
        <w:rPr>
          <w:rFonts w:eastAsia="Tahoma"/>
          <w:color w:val="000000"/>
          <w:spacing w:val="6"/>
        </w:rPr>
        <w:t>, as needed</w:t>
      </w:r>
      <w:r w:rsidR="00CB5ED4">
        <w:rPr>
          <w:rFonts w:eastAsia="Tahoma"/>
          <w:color w:val="000000"/>
          <w:spacing w:val="6"/>
        </w:rPr>
        <w:t>.</w:t>
      </w:r>
    </w:p>
    <w:p w14:paraId="27A917B6" w14:textId="0DDC0257" w:rsidR="003114EF" w:rsidRDefault="003114EF" w:rsidP="00F2122F">
      <w:pPr>
        <w:pStyle w:val="Heading2"/>
      </w:pPr>
      <w:r>
        <w:t>2.00</w:t>
      </w:r>
      <w:r>
        <w:tab/>
      </w:r>
      <w:r w:rsidRPr="007F716B">
        <w:t>No Retaliation</w:t>
      </w:r>
    </w:p>
    <w:p w14:paraId="101CDAAE" w14:textId="1C20AAA8" w:rsidR="003114EF" w:rsidRDefault="003114EF" w:rsidP="003114EF">
      <w:r>
        <w:t xml:space="preserve">2.01 </w:t>
      </w:r>
      <w:r>
        <w:tab/>
        <w:t xml:space="preserve">No </w:t>
      </w:r>
      <w:r w:rsidR="00F730E1">
        <w:t>Member</w:t>
      </w:r>
      <w:r w:rsidR="008C3276">
        <w:t xml:space="preserve">, </w:t>
      </w:r>
      <w:r w:rsidR="00D27932">
        <w:t>Contractor,</w:t>
      </w:r>
      <w:r>
        <w:t xml:space="preserve"> </w:t>
      </w:r>
      <w:r w:rsidR="00460C31">
        <w:t xml:space="preserve">or Stakeholder </w:t>
      </w:r>
      <w:r>
        <w:t xml:space="preserve">who in good faith reports a violation of the Ethics Policy and Guidelines shall suffer harassment, retaliation, or adverse employment </w:t>
      </w:r>
      <w:r w:rsidR="00460C31">
        <w:t xml:space="preserve">or contractual </w:t>
      </w:r>
      <w:r>
        <w:t>consequence</w:t>
      </w:r>
      <w:r w:rsidR="00D43CA6">
        <w:t xml:space="preserve">s </w:t>
      </w:r>
      <w:proofErr w:type="gramStart"/>
      <w:r w:rsidR="00D43CA6">
        <w:t>as a result of</w:t>
      </w:r>
      <w:proofErr w:type="gramEnd"/>
      <w:r w:rsidR="00D43CA6">
        <w:t xml:space="preserve"> the complaint</w:t>
      </w:r>
      <w:r>
        <w:t xml:space="preserve">. An employee who retaliates against someone who has reported a violation in good faith is subject to discipline up to and including termination of employment. This Whistleblower Policy is intended to encourage and enable </w:t>
      </w:r>
      <w:r w:rsidR="006F535A">
        <w:t>Members</w:t>
      </w:r>
      <w:r w:rsidR="00D43CA6">
        <w:t xml:space="preserve">, </w:t>
      </w:r>
      <w:proofErr w:type="gramStart"/>
      <w:r w:rsidR="00D43CA6">
        <w:t>Contractors</w:t>
      </w:r>
      <w:proofErr w:type="gramEnd"/>
      <w:r w:rsidR="006F535A">
        <w:t xml:space="preserve"> </w:t>
      </w:r>
      <w:r>
        <w:t xml:space="preserve">and </w:t>
      </w:r>
      <w:r w:rsidR="00B5788F">
        <w:t>Stakeholders</w:t>
      </w:r>
      <w:r>
        <w:t xml:space="preserve"> to raise serious concerns within the organization prior to seeking resolution outside the organization.</w:t>
      </w:r>
    </w:p>
    <w:p w14:paraId="3DFDF83D" w14:textId="4D5DCCBA" w:rsidR="003114EF" w:rsidRDefault="003114EF" w:rsidP="00F2122F">
      <w:pPr>
        <w:pStyle w:val="Heading2"/>
      </w:pPr>
      <w:r>
        <w:t>3.00</w:t>
      </w:r>
      <w:r>
        <w:tab/>
      </w:r>
      <w:r w:rsidRPr="007F716B">
        <w:t>Reporting Violations</w:t>
      </w:r>
    </w:p>
    <w:p w14:paraId="1590CC9B" w14:textId="77777777" w:rsidR="003039E4" w:rsidRDefault="003114EF" w:rsidP="003114EF">
      <w:r>
        <w:t>3.01</w:t>
      </w:r>
      <w:r>
        <w:tab/>
        <w:t xml:space="preserve">The Ethics Policy and Guidelines and other corporate policies address the organization’s ethics and integrity policies and establish processes for addressing concerns related to ethical conduct. The Ethics Policy and Guidelines </w:t>
      </w:r>
      <w:r w:rsidR="00BF2E57">
        <w:t xml:space="preserve">and other policies </w:t>
      </w:r>
      <w:r w:rsidR="003B2C79">
        <w:t>encourage</w:t>
      </w:r>
      <w:r>
        <w:t xml:space="preserve"> </w:t>
      </w:r>
      <w:r w:rsidR="00A8130D">
        <w:t xml:space="preserve">Members </w:t>
      </w:r>
      <w:r w:rsidR="003B2C79">
        <w:t xml:space="preserve">to </w:t>
      </w:r>
      <w:r>
        <w:t xml:space="preserve">share their questions, concerns, suggestions, or complaints with someone who can address them properly. </w:t>
      </w:r>
      <w:r w:rsidR="00792E99">
        <w:t>For employees, i</w:t>
      </w:r>
      <w:r>
        <w:t xml:space="preserve">n most cases, an employee’s manager is in the best position to address an area of concern. However, if </w:t>
      </w:r>
      <w:r w:rsidR="006F535A">
        <w:t>a</w:t>
      </w:r>
      <w:r w:rsidR="00285D0B">
        <w:t>n employee is</w:t>
      </w:r>
      <w:r>
        <w:t xml:space="preserve"> not comfortable speaking with </w:t>
      </w:r>
      <w:r w:rsidR="00285D0B">
        <w:t xml:space="preserve">their </w:t>
      </w:r>
      <w:r>
        <w:t xml:space="preserve">manager or </w:t>
      </w:r>
      <w:r w:rsidR="00285D0B">
        <w:t xml:space="preserve">is </w:t>
      </w:r>
      <w:r>
        <w:t xml:space="preserve">not satisfied with </w:t>
      </w:r>
      <w:r w:rsidR="00285D0B">
        <w:t xml:space="preserve">their </w:t>
      </w:r>
      <w:r>
        <w:t xml:space="preserve">manager’s response, </w:t>
      </w:r>
      <w:r w:rsidR="00285D0B">
        <w:t xml:space="preserve">they </w:t>
      </w:r>
      <w:r>
        <w:t xml:space="preserve">are encouraged to speak with someone in the </w:t>
      </w:r>
      <w:r w:rsidR="00D71BB0">
        <w:t>H</w:t>
      </w:r>
      <w:r>
        <w:t xml:space="preserve">uman </w:t>
      </w:r>
      <w:r w:rsidR="00D71BB0">
        <w:t>R</w:t>
      </w:r>
      <w:r>
        <w:t xml:space="preserve">esources </w:t>
      </w:r>
      <w:r w:rsidR="00D71BB0">
        <w:t>D</w:t>
      </w:r>
      <w:r>
        <w:t>epartment</w:t>
      </w:r>
      <w:r w:rsidR="00BF2E57">
        <w:t xml:space="preserve">, the Governance </w:t>
      </w:r>
      <w:r w:rsidR="00006B4F">
        <w:t>&amp;</w:t>
      </w:r>
      <w:r w:rsidR="00BF2E57">
        <w:t xml:space="preserve"> General Counsel </w:t>
      </w:r>
      <w:r w:rsidR="00006B4F">
        <w:t>Department</w:t>
      </w:r>
      <w:r>
        <w:t xml:space="preserve"> or anyone </w:t>
      </w:r>
      <w:r w:rsidR="00D71BB0">
        <w:t>from the</w:t>
      </w:r>
      <w:r>
        <w:t xml:space="preserve"> </w:t>
      </w:r>
      <w:r w:rsidR="00D71BB0">
        <w:t>M</w:t>
      </w:r>
      <w:r>
        <w:t xml:space="preserve">anagement </w:t>
      </w:r>
      <w:r w:rsidR="00D71BB0">
        <w:t>Team</w:t>
      </w:r>
      <w:r w:rsidR="00285D0B">
        <w:t>,</w:t>
      </w:r>
      <w:r w:rsidR="00D71BB0">
        <w:t xml:space="preserve"> </w:t>
      </w:r>
      <w:r>
        <w:t>who</w:t>
      </w:r>
      <w:r w:rsidR="006D12F8">
        <w:t>m</w:t>
      </w:r>
      <w:r>
        <w:t xml:space="preserve"> </w:t>
      </w:r>
      <w:r w:rsidR="00285D0B">
        <w:t xml:space="preserve">they </w:t>
      </w:r>
      <w:r>
        <w:t xml:space="preserve">are comfortable approaching. </w:t>
      </w:r>
      <w:r w:rsidR="00006B4F">
        <w:t>Mitacs Management</w:t>
      </w:r>
      <w:r>
        <w:t xml:space="preserve"> </w:t>
      </w:r>
      <w:r w:rsidR="00D71BB0">
        <w:t xml:space="preserve">is </w:t>
      </w:r>
      <w:r>
        <w:t xml:space="preserve">required to report </w:t>
      </w:r>
      <w:r w:rsidR="005D79D1">
        <w:t xml:space="preserve">all </w:t>
      </w:r>
      <w:r>
        <w:t xml:space="preserve">suspected violations of the Ethics Policy and Guidelines of Conduct to </w:t>
      </w:r>
      <w:r w:rsidR="00792E99">
        <w:t>Chair of the Governance Committee</w:t>
      </w:r>
      <w:r>
        <w:t>, who ha</w:t>
      </w:r>
      <w:r w:rsidR="00792E99">
        <w:t>s</w:t>
      </w:r>
      <w:r>
        <w:t xml:space="preserve"> specific and exclusive responsibility to investigate </w:t>
      </w:r>
      <w:r w:rsidR="00792E99">
        <w:t xml:space="preserve">or </w:t>
      </w:r>
      <w:r w:rsidR="009E5461">
        <w:t xml:space="preserve">require </w:t>
      </w:r>
      <w:r w:rsidR="003039E4">
        <w:t xml:space="preserve">and </w:t>
      </w:r>
      <w:r w:rsidR="009E5461">
        <w:t xml:space="preserve">direct an investigation of </w:t>
      </w:r>
      <w:r>
        <w:t>all reported violations.</w:t>
      </w:r>
    </w:p>
    <w:p w14:paraId="688043B7" w14:textId="2D44C506" w:rsidR="003114EF" w:rsidRPr="00DD2011" w:rsidRDefault="003114EF" w:rsidP="003114EF">
      <w:r>
        <w:t xml:space="preserve">For suspected fraud, </w:t>
      </w:r>
      <w:r w:rsidR="006B284A">
        <w:t xml:space="preserve">or when they are not satisfied or are uncomfortable with following the organization’s Ethics Policy and Guidelines of reporting </w:t>
      </w:r>
      <w:r w:rsidR="006B284A" w:rsidRPr="00DD2011">
        <w:t xml:space="preserve">to managers, Members, Contractors or Stakeholders may contact the Chair of the Governance Committee directly at </w:t>
      </w:r>
      <w:hyperlink r:id="rId12" w:history="1">
        <w:r w:rsidR="006B284A" w:rsidRPr="00DD2011">
          <w:rPr>
            <w:rStyle w:val="Hyperlink"/>
          </w:rPr>
          <w:t>governance@mitacs.ca</w:t>
        </w:r>
      </w:hyperlink>
      <w:r w:rsidR="006B284A" w:rsidRPr="00DD2011">
        <w:t xml:space="preserve"> or for financial matters, the corporation’s auditors to the attention of the Mitacs Audit Partner at [jfolka@kpmg</w:t>
      </w:r>
      <w:r w:rsidR="0042204F" w:rsidRPr="00DD2011">
        <w:t>.ca</w:t>
      </w:r>
      <w:r w:rsidR="006B284A" w:rsidRPr="00DD2011">
        <w:t>] or for any other matter, to the law firm Novalex to the attention of Mitacs Relationship Partner [</w:t>
      </w:r>
      <w:hyperlink r:id="rId13" w:history="1">
        <w:r w:rsidR="0042204F" w:rsidRPr="00DD2011">
          <w:rPr>
            <w:rStyle w:val="Hyperlink"/>
          </w:rPr>
          <w:t>mbouchard@novalex.co</w:t>
        </w:r>
      </w:hyperlink>
      <w:r w:rsidR="0044485A" w:rsidRPr="00DD2011">
        <w:t>]</w:t>
      </w:r>
      <w:r w:rsidRPr="00DD2011">
        <w:t>.</w:t>
      </w:r>
    </w:p>
    <w:p w14:paraId="1BB2B5D3" w14:textId="695E0852" w:rsidR="003114EF" w:rsidRDefault="003114EF" w:rsidP="00F2122F">
      <w:pPr>
        <w:pStyle w:val="Heading2"/>
      </w:pPr>
      <w:r w:rsidRPr="00DD2011">
        <w:lastRenderedPageBreak/>
        <w:t>4.00</w:t>
      </w:r>
      <w:r w:rsidRPr="00DD2011">
        <w:tab/>
      </w:r>
      <w:r w:rsidR="00EC1CBB" w:rsidRPr="00DD2011">
        <w:t>Chair of Governance Committee</w:t>
      </w:r>
      <w:r w:rsidR="00E96442" w:rsidRPr="00DD2011">
        <w:t>-Investig</w:t>
      </w:r>
      <w:r w:rsidR="00E96442">
        <w:t>ation and Resolution</w:t>
      </w:r>
    </w:p>
    <w:p w14:paraId="7477E371" w14:textId="77777777" w:rsidR="005E1A45" w:rsidRDefault="003114EF" w:rsidP="003114EF">
      <w:r>
        <w:t>4.01</w:t>
      </w:r>
      <w:r>
        <w:tab/>
        <w:t xml:space="preserve">The </w:t>
      </w:r>
      <w:r w:rsidR="00EC1CBB">
        <w:t>Chair of the Governance Committee</w:t>
      </w:r>
      <w:r w:rsidR="000B5AAB">
        <w:t xml:space="preserve"> is</w:t>
      </w:r>
      <w:r>
        <w:t xml:space="preserve"> responsible for </w:t>
      </w:r>
      <w:r w:rsidR="000B5AAB">
        <w:t xml:space="preserve">ensuring </w:t>
      </w:r>
      <w:r>
        <w:t xml:space="preserve">all reported complaints and allegations concerning violations of applicable law and/or the Ethics Policy and Guidelines </w:t>
      </w:r>
      <w:r w:rsidR="000B5AAB">
        <w:t xml:space="preserve">are appropriately investigated </w:t>
      </w:r>
      <w:r>
        <w:t>and</w:t>
      </w:r>
      <w:r w:rsidR="004B1463">
        <w:t xml:space="preserve"> resolved. </w:t>
      </w:r>
    </w:p>
    <w:p w14:paraId="4956DE81" w14:textId="4B5A9FEB" w:rsidR="003114EF" w:rsidRDefault="00353D3E" w:rsidP="003114EF">
      <w:r>
        <w:t>In their discretion, the</w:t>
      </w:r>
      <w:r w:rsidR="000B5AAB">
        <w:t xml:space="preserve"> Governance Committee Chair</w:t>
      </w:r>
      <w:r w:rsidR="003114EF">
        <w:t xml:space="preserve"> </w:t>
      </w:r>
      <w:r w:rsidR="00ED5F26">
        <w:t>may</w:t>
      </w:r>
      <w:r w:rsidR="003114EF">
        <w:t xml:space="preserve"> </w:t>
      </w:r>
      <w:r w:rsidR="0072786D">
        <w:t xml:space="preserve">(but is not obliged to) </w:t>
      </w:r>
      <w:r w:rsidR="003114EF">
        <w:t xml:space="preserve">advise the </w:t>
      </w:r>
      <w:r w:rsidR="001422E4">
        <w:t>C</w:t>
      </w:r>
      <w:r w:rsidR="003114EF">
        <w:t xml:space="preserve">hief </w:t>
      </w:r>
      <w:r w:rsidR="001422E4">
        <w:t>E</w:t>
      </w:r>
      <w:r w:rsidR="003114EF">
        <w:t xml:space="preserve">xecutive </w:t>
      </w:r>
      <w:r w:rsidR="001422E4">
        <w:t>O</w:t>
      </w:r>
      <w:r w:rsidR="003114EF">
        <w:t xml:space="preserve">fficer and/or the </w:t>
      </w:r>
      <w:r w:rsidR="001422E4">
        <w:t>A</w:t>
      </w:r>
      <w:r w:rsidR="003114EF">
        <w:t xml:space="preserve">udit </w:t>
      </w:r>
      <w:r w:rsidR="001422E4">
        <w:t>C</w:t>
      </w:r>
      <w:r w:rsidR="003114EF">
        <w:t>ommittee</w:t>
      </w:r>
      <w:r w:rsidR="00ED5F26">
        <w:t xml:space="preserve"> Chair of the complaint and investigation</w:t>
      </w:r>
      <w:r w:rsidR="003114EF">
        <w:t xml:space="preserve">. </w:t>
      </w:r>
      <w:r w:rsidR="00EB4CBD">
        <w:t>The Governance Committee Chair</w:t>
      </w:r>
      <w:r w:rsidR="00AB6F9D">
        <w:t xml:space="preserve"> may </w:t>
      </w:r>
      <w:r w:rsidR="009D1DA0">
        <w:t>request</w:t>
      </w:r>
      <w:r w:rsidR="00EB4CBD">
        <w:t xml:space="preserve"> any</w:t>
      </w:r>
      <w:r w:rsidR="009D1DA0">
        <w:t xml:space="preserve"> in-house Mitacs Counsel or</w:t>
      </w:r>
      <w:r w:rsidR="00EB4CBD">
        <w:t xml:space="preserve"> independent</w:t>
      </w:r>
      <w:r w:rsidR="009D1DA0">
        <w:t xml:space="preserve"> </w:t>
      </w:r>
      <w:r w:rsidR="00822967">
        <w:t>external counsel retained by the Governance Committee Chair and paid by Mitacs to conduct the investigation</w:t>
      </w:r>
      <w:r w:rsidR="00442C20">
        <w:t xml:space="preserve">. </w:t>
      </w:r>
      <w:r w:rsidR="003114EF">
        <w:t xml:space="preserve">The </w:t>
      </w:r>
      <w:r w:rsidR="00B1192C">
        <w:t>Governance Committee Chair and</w:t>
      </w:r>
      <w:r w:rsidR="00442C20">
        <w:t>, as applicable,</w:t>
      </w:r>
      <w:r w:rsidR="00B1192C">
        <w:t xml:space="preserve"> any investigator appointed or retained by the Governance Committee Chair </w:t>
      </w:r>
      <w:r w:rsidR="0019322E">
        <w:t xml:space="preserve">shall have </w:t>
      </w:r>
      <w:r w:rsidR="003114EF">
        <w:t xml:space="preserve">direct access to the </w:t>
      </w:r>
      <w:r w:rsidR="001422E4">
        <w:t>A</w:t>
      </w:r>
      <w:r w:rsidR="003114EF">
        <w:t xml:space="preserve">udit </w:t>
      </w:r>
      <w:r w:rsidR="001422E4">
        <w:t>C</w:t>
      </w:r>
      <w:r w:rsidR="003114EF">
        <w:t xml:space="preserve">ommittee of the </w:t>
      </w:r>
      <w:r w:rsidR="001422E4">
        <w:t>B</w:t>
      </w:r>
      <w:r w:rsidR="003114EF">
        <w:t>oard, as required</w:t>
      </w:r>
      <w:r w:rsidR="0019322E">
        <w:t>. The Governance Committee Chair</w:t>
      </w:r>
      <w:r w:rsidR="003114EF">
        <w:t xml:space="preserve"> shall report, </w:t>
      </w:r>
      <w:r w:rsidR="003114EF" w:rsidRPr="00656D62">
        <w:rPr>
          <w:i/>
          <w:iCs/>
        </w:rPr>
        <w:t>in camera</w:t>
      </w:r>
      <w:r w:rsidR="003114EF">
        <w:t>, to the Governance Committee at least annually on compliance activity</w:t>
      </w:r>
      <w:r w:rsidR="00442C20">
        <w:t xml:space="preserve"> under this policy</w:t>
      </w:r>
      <w:r w:rsidR="003114EF">
        <w:t>.</w:t>
      </w:r>
    </w:p>
    <w:p w14:paraId="24A2D082" w14:textId="0A0260F6" w:rsidR="003114EF" w:rsidRDefault="003114EF" w:rsidP="00F2122F">
      <w:pPr>
        <w:pStyle w:val="Heading2"/>
      </w:pPr>
      <w:r>
        <w:t>5.00</w:t>
      </w:r>
      <w:r>
        <w:tab/>
      </w:r>
      <w:r w:rsidRPr="007F716B">
        <w:t>Accounting and Auditing Matters</w:t>
      </w:r>
    </w:p>
    <w:p w14:paraId="679B4853" w14:textId="686D5CE2" w:rsidR="003114EF" w:rsidRDefault="003114EF" w:rsidP="003114EF">
      <w:r>
        <w:t>5.01</w:t>
      </w:r>
      <w:r>
        <w:tab/>
        <w:t xml:space="preserve">The </w:t>
      </w:r>
      <w:r w:rsidR="001422E4">
        <w:t>A</w:t>
      </w:r>
      <w:r>
        <w:t>udit</w:t>
      </w:r>
      <w:r w:rsidR="002D1893">
        <w:t xml:space="preserve"> </w:t>
      </w:r>
      <w:r w:rsidR="001422E4">
        <w:t>C</w:t>
      </w:r>
      <w:r>
        <w:t>ommittee</w:t>
      </w:r>
      <w:r w:rsidR="002D1893">
        <w:t xml:space="preserve"> </w:t>
      </w:r>
      <w:r>
        <w:t xml:space="preserve">of the </w:t>
      </w:r>
      <w:r w:rsidR="001422E4">
        <w:t>B</w:t>
      </w:r>
      <w:r>
        <w:t xml:space="preserve">oard shall address all reported concerns or complaints regarding </w:t>
      </w:r>
      <w:r w:rsidR="00585A95">
        <w:t>suspected</w:t>
      </w:r>
      <w:r w:rsidR="006949F8">
        <w:t xml:space="preserve"> conflicts of interest,</w:t>
      </w:r>
      <w:r w:rsidR="00DB624F">
        <w:t xml:space="preserve"> financial mismanagement, </w:t>
      </w:r>
      <w:r>
        <w:t xml:space="preserve">corporate </w:t>
      </w:r>
      <w:r w:rsidR="00DB624F">
        <w:t>non</w:t>
      </w:r>
      <w:r>
        <w:t>compliance, accounting practices</w:t>
      </w:r>
      <w:r w:rsidR="00D65385">
        <w:t xml:space="preserve"> not consistent with applicable standards</w:t>
      </w:r>
      <w:r>
        <w:t xml:space="preserve">, </w:t>
      </w:r>
      <w:r w:rsidR="00D65385">
        <w:t xml:space="preserve">gaps in </w:t>
      </w:r>
      <w:r>
        <w:t>internal controls, or auditing</w:t>
      </w:r>
      <w:r w:rsidR="00415783">
        <w:t xml:space="preserve"> irregularities or any other allegations of financial impropriety</w:t>
      </w:r>
      <w:r>
        <w:t xml:space="preserve">. The </w:t>
      </w:r>
      <w:r w:rsidR="005C545D">
        <w:t>Governance Committee Chair</w:t>
      </w:r>
      <w:r>
        <w:t xml:space="preserve"> shall promptly notify the </w:t>
      </w:r>
      <w:r w:rsidR="001422E4">
        <w:t>A</w:t>
      </w:r>
      <w:r>
        <w:t xml:space="preserve">udit </w:t>
      </w:r>
      <w:r w:rsidR="001422E4">
        <w:t>C</w:t>
      </w:r>
      <w:r>
        <w:t xml:space="preserve">ommittee of any such complaint to be investigated and work with the </w:t>
      </w:r>
      <w:r w:rsidR="00EB47AA">
        <w:t>C</w:t>
      </w:r>
      <w:r>
        <w:t>ommittee until the matter is resolved.</w:t>
      </w:r>
    </w:p>
    <w:p w14:paraId="4B3277C3" w14:textId="3F8BD343" w:rsidR="003114EF" w:rsidRDefault="003114EF" w:rsidP="00F2122F">
      <w:pPr>
        <w:pStyle w:val="Heading2"/>
      </w:pPr>
      <w:r>
        <w:t>6.00</w:t>
      </w:r>
      <w:r>
        <w:tab/>
      </w:r>
      <w:r w:rsidRPr="00656D62">
        <w:t>Acting in Good Faith</w:t>
      </w:r>
    </w:p>
    <w:p w14:paraId="4C486CE2" w14:textId="4FA3500A" w:rsidR="003114EF" w:rsidRDefault="003114EF" w:rsidP="003114EF">
      <w:r>
        <w:t>6.01</w:t>
      </w:r>
      <w:r>
        <w:tab/>
        <w:t xml:space="preserve">Anyone filing a complaint concerning suspected noncompliance with applicable laws </w:t>
      </w:r>
      <w:r w:rsidR="00EB47AA">
        <w:t>and/</w:t>
      </w:r>
      <w:r>
        <w:t>or with the Ethics Policy and Guidelines</w:t>
      </w:r>
      <w:r w:rsidR="00633BA6">
        <w:t>, including financial mismanagement</w:t>
      </w:r>
      <w:r>
        <w:t xml:space="preserve"> must be acting in good faith and have reasonable grounds for believing the information disclosed indicates a violation of the Ethics Policy and Guidelines</w:t>
      </w:r>
      <w:r w:rsidR="00995000">
        <w:t xml:space="preserve">, applicable </w:t>
      </w:r>
      <w:proofErr w:type="gramStart"/>
      <w:r w:rsidR="00995000">
        <w:t>law</w:t>
      </w:r>
      <w:proofErr w:type="gramEnd"/>
      <w:r w:rsidR="00995000">
        <w:t xml:space="preserve"> or applicable standards</w:t>
      </w:r>
      <w:r>
        <w:t>. Any allegations that prove not to be substantiated and which prove to have been made maliciously or knowingly to be false will be viewed as a possible disciplinary offen</w:t>
      </w:r>
      <w:r w:rsidR="006D12F8">
        <w:t>c</w:t>
      </w:r>
      <w:r>
        <w:t>e.</w:t>
      </w:r>
    </w:p>
    <w:p w14:paraId="1186052D" w14:textId="77777777" w:rsidR="003114EF" w:rsidRDefault="003114EF" w:rsidP="00F2122F">
      <w:pPr>
        <w:pStyle w:val="Heading2"/>
      </w:pPr>
      <w:r>
        <w:t>7.00</w:t>
      </w:r>
      <w:r>
        <w:tab/>
      </w:r>
      <w:r w:rsidRPr="00656D62">
        <w:t>Confidentiality</w:t>
      </w:r>
    </w:p>
    <w:p w14:paraId="79CC5834" w14:textId="3CA8EE38" w:rsidR="004F314A" w:rsidRPr="00644CB7" w:rsidRDefault="003114EF" w:rsidP="003114EF">
      <w:r>
        <w:t>7.01</w:t>
      </w:r>
      <w:r>
        <w:tab/>
      </w:r>
      <w:r w:rsidR="00995000">
        <w:t>S</w:t>
      </w:r>
      <w:r>
        <w:t>uspected noncompliance with</w:t>
      </w:r>
      <w:r w:rsidR="00CC7135">
        <w:t xml:space="preserve"> applicable laws, </w:t>
      </w:r>
      <w:r>
        <w:t xml:space="preserve">the </w:t>
      </w:r>
      <w:r w:rsidR="00432297">
        <w:t xml:space="preserve">Mitacs </w:t>
      </w:r>
      <w:r>
        <w:t xml:space="preserve">Ethics </w:t>
      </w:r>
      <w:proofErr w:type="gramStart"/>
      <w:r>
        <w:t>Policy</w:t>
      </w:r>
      <w:proofErr w:type="gramEnd"/>
      <w:r>
        <w:t xml:space="preserve"> and Guidelines</w:t>
      </w:r>
      <w:r w:rsidR="00432297">
        <w:t>,</w:t>
      </w:r>
      <w:r>
        <w:t xml:space="preserve"> </w:t>
      </w:r>
      <w:r w:rsidR="00CC7135">
        <w:t xml:space="preserve">including </w:t>
      </w:r>
      <w:r w:rsidR="00432297">
        <w:t xml:space="preserve">alleged </w:t>
      </w:r>
      <w:r w:rsidR="00CC7135">
        <w:t xml:space="preserve">mismanagement of public funds </w:t>
      </w:r>
      <w:r>
        <w:t xml:space="preserve">may be submitted on a confidential basis by the </w:t>
      </w:r>
      <w:r w:rsidR="00A218FB">
        <w:t>Memb</w:t>
      </w:r>
      <w:r w:rsidR="00A218FB" w:rsidRPr="00644CB7">
        <w:t>er</w:t>
      </w:r>
      <w:r w:rsidR="00835003" w:rsidRPr="00644CB7">
        <w:t>, Contractor</w:t>
      </w:r>
      <w:r w:rsidR="00A218FB" w:rsidRPr="00644CB7">
        <w:t xml:space="preserve"> or Stakeholder</w:t>
      </w:r>
      <w:r w:rsidR="0056442A" w:rsidRPr="00644CB7">
        <w:t xml:space="preserve"> directly to the Governance Committee Chair </w:t>
      </w:r>
      <w:r w:rsidR="001F7CD5" w:rsidRPr="00644CB7">
        <w:t xml:space="preserve">(by e-mail to </w:t>
      </w:r>
      <w:r w:rsidR="004766AA" w:rsidRPr="00644CB7">
        <w:t>governance</w:t>
      </w:r>
      <w:r w:rsidR="001F7CD5" w:rsidRPr="00644CB7">
        <w:t>@mitacs.ca)</w:t>
      </w:r>
      <w:r w:rsidRPr="00644CB7">
        <w:t xml:space="preserve"> or may be submitted anonymously</w:t>
      </w:r>
      <w:r w:rsidR="001F7CD5" w:rsidRPr="00644CB7">
        <w:t xml:space="preserve"> by correspondence to the Mitacs Governance Committee Chair</w:t>
      </w:r>
      <w:r w:rsidRPr="00644CB7">
        <w:t>.</w:t>
      </w:r>
    </w:p>
    <w:p w14:paraId="56F7EC52" w14:textId="12145765" w:rsidR="003114EF" w:rsidRDefault="003114EF" w:rsidP="003114EF">
      <w:r w:rsidRPr="00644CB7">
        <w:t>Report</w:t>
      </w:r>
      <w:r>
        <w:t>s of violations or suspected violations will be kept confidential to the extent possible</w:t>
      </w:r>
      <w:r w:rsidR="006A5691">
        <w:t xml:space="preserve"> and subject to disclosure required by law</w:t>
      </w:r>
      <w:r>
        <w:t>, consistent with the need to conduct an adequate investigation.</w:t>
      </w:r>
    </w:p>
    <w:p w14:paraId="0031E39A" w14:textId="6C7D0B16" w:rsidR="003114EF" w:rsidRDefault="003114EF" w:rsidP="00F2122F">
      <w:pPr>
        <w:pStyle w:val="Heading2"/>
      </w:pPr>
      <w:r>
        <w:lastRenderedPageBreak/>
        <w:t>8.00</w:t>
      </w:r>
      <w:r>
        <w:tab/>
      </w:r>
      <w:r w:rsidRPr="003B6295">
        <w:t>Handling of Reported Noncompliance or Suspected Noncompliance</w:t>
      </w:r>
    </w:p>
    <w:p w14:paraId="02C9A365" w14:textId="436886DD" w:rsidR="00A21CC0" w:rsidRDefault="003114EF" w:rsidP="00A21CC0">
      <w:r>
        <w:t>8.01</w:t>
      </w:r>
      <w:r>
        <w:tab/>
        <w:t xml:space="preserve">When a report has been made which is not anonymous, the </w:t>
      </w:r>
      <w:r w:rsidR="006A5691">
        <w:t>Chair of the Governance Committee</w:t>
      </w:r>
      <w:r>
        <w:t xml:space="preserve"> will acknowledge receipt of the reported noncompliance or suspected noncompliance within 30 business days.</w:t>
      </w:r>
      <w:r w:rsidR="001B1C92">
        <w:t xml:space="preserve"> While the </w:t>
      </w:r>
      <w:proofErr w:type="gramStart"/>
      <w:r w:rsidR="001B1C92">
        <w:t>particular circumstances</w:t>
      </w:r>
      <w:proofErr w:type="gramEnd"/>
      <w:r w:rsidR="001B1C92">
        <w:t xml:space="preserve"> of each report may require a different investigation step,</w:t>
      </w:r>
      <w:r>
        <w:t xml:space="preserve"> </w:t>
      </w:r>
      <w:r w:rsidR="001B1C92">
        <w:t>a</w:t>
      </w:r>
      <w:r>
        <w:t xml:space="preserve">ll reports will </w:t>
      </w:r>
      <w:r w:rsidR="00C8262E">
        <w:t>follow a fair process</w:t>
      </w:r>
      <w:r w:rsidR="003558CC">
        <w:t xml:space="preserve"> consistent with the principles of natural justice</w:t>
      </w:r>
      <w:r w:rsidR="00C8262E">
        <w:t xml:space="preserve">, </w:t>
      </w:r>
      <w:r>
        <w:t xml:space="preserve">be promptly </w:t>
      </w:r>
      <w:r w:rsidR="000074AA">
        <w:t xml:space="preserve">and efficiently </w:t>
      </w:r>
      <w:r>
        <w:t>investigated</w:t>
      </w:r>
      <w:r w:rsidR="006E61A8">
        <w:t xml:space="preserve"> as the circumstances permit</w:t>
      </w:r>
      <w:r>
        <w:t xml:space="preserve">, </w:t>
      </w:r>
      <w:r w:rsidR="00180FD1">
        <w:t xml:space="preserve">ensure </w:t>
      </w:r>
      <w:r w:rsidR="006C4D6E">
        <w:t>there is enough evidence to substantiate the matters reported</w:t>
      </w:r>
      <w:r w:rsidR="00E81F6D">
        <w:t xml:space="preserve"> or suspected</w:t>
      </w:r>
      <w:r w:rsidR="00161DD2">
        <w:t>, and be independent of the person(s) concerned with the allegations</w:t>
      </w:r>
      <w:r w:rsidR="006C4D6E">
        <w:t xml:space="preserve">. </w:t>
      </w:r>
      <w:r w:rsidR="005D5E3E">
        <w:t xml:space="preserve">Upon completion of the investigation, </w:t>
      </w:r>
      <w:r>
        <w:t>appropriate corrective action will be taken</w:t>
      </w:r>
      <w:r w:rsidR="00E81F6D">
        <w:t xml:space="preserve"> under the direction of the Governance Committee Chair</w:t>
      </w:r>
      <w:r w:rsidR="00DD3E3F">
        <w:t>,</w:t>
      </w:r>
      <w:r>
        <w:t xml:space="preserve"> if warranted by the investigation.</w:t>
      </w:r>
    </w:p>
    <w:sectPr w:rsidR="00A21CC0" w:rsidSect="002B117A">
      <w:footerReference w:type="default" r:id="rId14"/>
      <w:footerReference w:type="firs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EBD9" w14:textId="77777777" w:rsidR="003627A6" w:rsidRDefault="003627A6" w:rsidP="00992687">
      <w:pPr>
        <w:spacing w:after="0" w:line="240" w:lineRule="auto"/>
      </w:pPr>
      <w:r>
        <w:separator/>
      </w:r>
    </w:p>
  </w:endnote>
  <w:endnote w:type="continuationSeparator" w:id="0">
    <w:p w14:paraId="6F27EC64" w14:textId="77777777" w:rsidR="003627A6" w:rsidRDefault="003627A6" w:rsidP="00992687">
      <w:pPr>
        <w:spacing w:after="0" w:line="240" w:lineRule="auto"/>
      </w:pPr>
      <w:r>
        <w:continuationSeparator/>
      </w:r>
    </w:p>
  </w:endnote>
  <w:endnote w:type="continuationNotice" w:id="1">
    <w:p w14:paraId="6D903F03" w14:textId="77777777" w:rsidR="003627A6" w:rsidRDefault="00362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120912"/>
      <w:docPartObj>
        <w:docPartGallery w:val="Page Numbers (Bottom of Page)"/>
        <w:docPartUnique/>
      </w:docPartObj>
    </w:sdtPr>
    <w:sdtEndPr/>
    <w:sdtContent>
      <w:p w14:paraId="757BB125" w14:textId="77777777" w:rsidR="00253A8B" w:rsidRDefault="00253A8B" w:rsidP="00253A8B">
        <w:pPr>
          <w:pStyle w:val="Footer"/>
        </w:pPr>
      </w:p>
      <w:p w14:paraId="2547C59D" w14:textId="77777777" w:rsidR="002B117A" w:rsidRDefault="00BE6BC3">
        <w:pPr>
          <w:pStyle w:val="Footer"/>
          <w:jc w:val="right"/>
        </w:pPr>
      </w:p>
    </w:sdtContent>
  </w:sdt>
  <w:p w14:paraId="4D74E489" w14:textId="77777777" w:rsidR="00253A8B" w:rsidRDefault="00253A8B" w:rsidP="00253A8B">
    <w:pPr>
      <w:pStyle w:val="Footer"/>
      <w:jc w:val="right"/>
    </w:pPr>
    <w:r>
      <w:tab/>
    </w:r>
  </w:p>
  <w:sdt>
    <w:sdtPr>
      <w:id w:val="1238675610"/>
      <w:docPartObj>
        <w:docPartGallery w:val="Page Numbers (Top of Page)"/>
        <w:docPartUnique/>
      </w:docPartObj>
    </w:sdtPr>
    <w:sdtEndPr/>
    <w:sdtContent>
      <w:p w14:paraId="18704712" w14:textId="77777777" w:rsidR="00253A8B" w:rsidRDefault="00253A8B" w:rsidP="00253A8B">
        <w:pPr>
          <w:pStyle w:val="Footer"/>
          <w:jc w:val="right"/>
          <w:rPr>
            <w:rFonts w:cstheme="minorHAnsi"/>
            <w:color w:val="1F3864" w:themeColor="accent1" w:themeShade="80"/>
          </w:rPr>
        </w:pPr>
        <w:r w:rsidRPr="002B117A">
          <w:rPr>
            <w:rFonts w:cstheme="minorHAnsi"/>
            <w:color w:val="1F3864" w:themeColor="accent1" w:themeShade="80"/>
          </w:rPr>
          <w:t xml:space="preserve">Page </w:t>
        </w:r>
        <w:r w:rsidRPr="002B117A">
          <w:rPr>
            <w:rFonts w:cstheme="minorHAnsi"/>
            <w:color w:val="1F3864" w:themeColor="accent1" w:themeShade="80"/>
          </w:rPr>
          <w:fldChar w:fldCharType="begin"/>
        </w:r>
        <w:r w:rsidRPr="002B117A">
          <w:rPr>
            <w:rFonts w:cstheme="minorHAnsi"/>
            <w:color w:val="1F3864" w:themeColor="accent1" w:themeShade="80"/>
          </w:rPr>
          <w:instrText xml:space="preserve"> PAGE </w:instrText>
        </w:r>
        <w:r w:rsidRPr="002B117A">
          <w:rPr>
            <w:rFonts w:cstheme="minorHAnsi"/>
            <w:color w:val="1F3864" w:themeColor="accent1" w:themeShade="80"/>
          </w:rPr>
          <w:fldChar w:fldCharType="separate"/>
        </w:r>
        <w:r>
          <w:rPr>
            <w:rFonts w:cstheme="minorHAnsi"/>
            <w:color w:val="1F3864" w:themeColor="accent1" w:themeShade="80"/>
          </w:rPr>
          <w:t>3</w:t>
        </w:r>
        <w:r w:rsidRPr="002B117A">
          <w:rPr>
            <w:rFonts w:cstheme="minorHAnsi"/>
            <w:color w:val="1F3864" w:themeColor="accent1" w:themeShade="80"/>
          </w:rPr>
          <w:fldChar w:fldCharType="end"/>
        </w:r>
        <w:r w:rsidRPr="002B117A">
          <w:rPr>
            <w:rFonts w:cstheme="minorHAnsi"/>
            <w:color w:val="1F3864" w:themeColor="accent1" w:themeShade="80"/>
          </w:rPr>
          <w:t xml:space="preserve"> of </w:t>
        </w:r>
        <w:r w:rsidRPr="002B117A">
          <w:rPr>
            <w:rFonts w:cstheme="minorHAnsi"/>
            <w:color w:val="1F3864" w:themeColor="accent1" w:themeShade="80"/>
          </w:rPr>
          <w:fldChar w:fldCharType="begin"/>
        </w:r>
        <w:r w:rsidRPr="002B117A">
          <w:rPr>
            <w:rFonts w:cstheme="minorHAnsi"/>
            <w:color w:val="1F3864" w:themeColor="accent1" w:themeShade="80"/>
          </w:rPr>
          <w:instrText xml:space="preserve"> NUMPAGES  </w:instrText>
        </w:r>
        <w:r w:rsidRPr="002B117A">
          <w:rPr>
            <w:rFonts w:cstheme="minorHAnsi"/>
            <w:color w:val="1F3864" w:themeColor="accent1" w:themeShade="80"/>
          </w:rPr>
          <w:fldChar w:fldCharType="separate"/>
        </w:r>
        <w:r>
          <w:rPr>
            <w:rFonts w:cstheme="minorHAnsi"/>
            <w:color w:val="1F3864" w:themeColor="accent1" w:themeShade="80"/>
          </w:rPr>
          <w:t>6</w:t>
        </w:r>
        <w:r w:rsidRPr="002B117A">
          <w:rPr>
            <w:rFonts w:cstheme="minorHAnsi"/>
            <w:color w:val="1F3864" w:themeColor="accent1" w:themeShade="80"/>
          </w:rPr>
          <w:fldChar w:fldCharType="end"/>
        </w:r>
      </w:p>
      <w:p w14:paraId="26633536" w14:textId="77777777" w:rsidR="00253A8B" w:rsidRDefault="00253A8B" w:rsidP="00253A8B">
        <w:pPr>
          <w:pStyle w:val="Footer"/>
          <w:jc w:val="right"/>
        </w:pPr>
        <w:r>
          <w:rPr>
            <w:b/>
            <w:bCs/>
            <w:color w:val="1B4D69"/>
            <w:sz w:val="20"/>
            <w:szCs w:val="20"/>
          </w:rPr>
          <w:t>www.mitacs.ca</w:t>
        </w:r>
      </w:p>
      <w:p w14:paraId="46FD30E2" w14:textId="77777777" w:rsidR="00253A8B" w:rsidRDefault="00BE6BC3" w:rsidP="00253A8B">
        <w:pPr>
          <w:pStyle w:val="Footer"/>
          <w:jc w:val="right"/>
        </w:pPr>
      </w:p>
    </w:sdtContent>
  </w:sdt>
  <w:p w14:paraId="7A4926E3" w14:textId="77777777" w:rsidR="00AC156C" w:rsidRDefault="00AC156C" w:rsidP="00253A8B">
    <w:pPr>
      <w:pStyle w:val="Footer"/>
      <w:tabs>
        <w:tab w:val="left" w:pos="8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0BA0" w14:textId="77777777" w:rsidR="00627D41" w:rsidRPr="00627D41" w:rsidRDefault="00627D41">
    <w:pPr>
      <w:pStyle w:val="Footer"/>
      <w:jc w:val="right"/>
      <w:rPr>
        <w:color w:val="00B0F0"/>
        <w:sz w:val="16"/>
        <w:szCs w:val="16"/>
      </w:rPr>
    </w:pPr>
    <w:r w:rsidRPr="00627D41">
      <w:rPr>
        <w:color w:val="00B0F0"/>
        <w:sz w:val="16"/>
        <w:szCs w:val="16"/>
      </w:rPr>
      <w:t xml:space="preserve">Page </w:t>
    </w:r>
    <w:r w:rsidRPr="00627D41">
      <w:rPr>
        <w:b/>
        <w:bCs/>
        <w:color w:val="00B0F0"/>
        <w:sz w:val="16"/>
        <w:szCs w:val="16"/>
      </w:rPr>
      <w:fldChar w:fldCharType="begin"/>
    </w:r>
    <w:r w:rsidRPr="00627D41">
      <w:rPr>
        <w:b/>
        <w:bCs/>
        <w:color w:val="00B0F0"/>
        <w:sz w:val="16"/>
        <w:szCs w:val="16"/>
      </w:rPr>
      <w:instrText xml:space="preserve"> PAGE </w:instrText>
    </w:r>
    <w:r w:rsidRPr="00627D41">
      <w:rPr>
        <w:b/>
        <w:bCs/>
        <w:color w:val="00B0F0"/>
        <w:sz w:val="16"/>
        <w:szCs w:val="16"/>
      </w:rPr>
      <w:fldChar w:fldCharType="separate"/>
    </w:r>
    <w:r w:rsidRPr="00627D41">
      <w:rPr>
        <w:b/>
        <w:bCs/>
        <w:noProof/>
        <w:color w:val="00B0F0"/>
        <w:sz w:val="16"/>
        <w:szCs w:val="16"/>
      </w:rPr>
      <w:t>2</w:t>
    </w:r>
    <w:r w:rsidRPr="00627D41">
      <w:rPr>
        <w:b/>
        <w:bCs/>
        <w:color w:val="00B0F0"/>
        <w:sz w:val="16"/>
        <w:szCs w:val="16"/>
      </w:rPr>
      <w:fldChar w:fldCharType="end"/>
    </w:r>
    <w:r w:rsidRPr="00627D41">
      <w:rPr>
        <w:color w:val="00B0F0"/>
        <w:sz w:val="16"/>
        <w:szCs w:val="16"/>
      </w:rPr>
      <w:t xml:space="preserve"> of </w:t>
    </w:r>
    <w:r w:rsidRPr="00627D41">
      <w:rPr>
        <w:b/>
        <w:bCs/>
        <w:color w:val="00B0F0"/>
        <w:sz w:val="16"/>
        <w:szCs w:val="16"/>
      </w:rPr>
      <w:fldChar w:fldCharType="begin"/>
    </w:r>
    <w:r w:rsidRPr="00627D41">
      <w:rPr>
        <w:b/>
        <w:bCs/>
        <w:color w:val="00B0F0"/>
        <w:sz w:val="16"/>
        <w:szCs w:val="16"/>
      </w:rPr>
      <w:instrText xml:space="preserve"> NUMPAGES  </w:instrText>
    </w:r>
    <w:r w:rsidRPr="00627D41">
      <w:rPr>
        <w:b/>
        <w:bCs/>
        <w:color w:val="00B0F0"/>
        <w:sz w:val="16"/>
        <w:szCs w:val="16"/>
      </w:rPr>
      <w:fldChar w:fldCharType="separate"/>
    </w:r>
    <w:r w:rsidRPr="00627D41">
      <w:rPr>
        <w:b/>
        <w:bCs/>
        <w:noProof/>
        <w:color w:val="00B0F0"/>
        <w:sz w:val="16"/>
        <w:szCs w:val="16"/>
      </w:rPr>
      <w:t>2</w:t>
    </w:r>
    <w:r w:rsidRPr="00627D41">
      <w:rPr>
        <w:b/>
        <w:bCs/>
        <w:color w:val="00B0F0"/>
        <w:sz w:val="16"/>
        <w:szCs w:val="16"/>
      </w:rPr>
      <w:fldChar w:fldCharType="end"/>
    </w:r>
  </w:p>
  <w:p w14:paraId="6A45E877" w14:textId="77777777" w:rsidR="00627D41" w:rsidRPr="00627D41" w:rsidRDefault="00627D41" w:rsidP="00AC156C">
    <w:pPr>
      <w:pStyle w:val="Footer"/>
      <w:pBdr>
        <w:top w:val="single" w:sz="4" w:space="1" w:color="D9D9D9" w:themeColor="background1" w:themeShade="D9"/>
      </w:pBdr>
      <w:rPr>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6338" w14:textId="77777777" w:rsidR="003627A6" w:rsidRDefault="003627A6" w:rsidP="00992687">
      <w:pPr>
        <w:spacing w:after="0" w:line="240" w:lineRule="auto"/>
      </w:pPr>
      <w:r>
        <w:separator/>
      </w:r>
    </w:p>
  </w:footnote>
  <w:footnote w:type="continuationSeparator" w:id="0">
    <w:p w14:paraId="16E40D24" w14:textId="77777777" w:rsidR="003627A6" w:rsidRDefault="003627A6" w:rsidP="00992687">
      <w:pPr>
        <w:spacing w:after="0" w:line="240" w:lineRule="auto"/>
      </w:pPr>
      <w:r>
        <w:continuationSeparator/>
      </w:r>
    </w:p>
  </w:footnote>
  <w:footnote w:type="continuationNotice" w:id="1">
    <w:p w14:paraId="289E9543" w14:textId="77777777" w:rsidR="003627A6" w:rsidRDefault="003627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AF2"/>
    <w:multiLevelType w:val="hybridMultilevel"/>
    <w:tmpl w:val="D256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F0645"/>
    <w:multiLevelType w:val="hybridMultilevel"/>
    <w:tmpl w:val="8E70C5E0"/>
    <w:lvl w:ilvl="0" w:tplc="56127AF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72B1E11"/>
    <w:multiLevelType w:val="hybridMultilevel"/>
    <w:tmpl w:val="82743A84"/>
    <w:lvl w:ilvl="0" w:tplc="10090017">
      <w:start w:val="1"/>
      <w:numFmt w:val="lowerLetter"/>
      <w:lvlText w:val="%1)"/>
      <w:lvlJc w:val="left"/>
      <w:pPr>
        <w:ind w:left="144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94B2C74"/>
    <w:multiLevelType w:val="hybridMultilevel"/>
    <w:tmpl w:val="327AD8EE"/>
    <w:lvl w:ilvl="0" w:tplc="D5A6D8E6">
      <w:start w:val="1"/>
      <w:numFmt w:val="bullet"/>
      <w:pStyle w:val="BulletL1"/>
      <w:lvlText w:val=""/>
      <w:lvlJc w:val="left"/>
      <w:pPr>
        <w:ind w:left="216" w:hanging="216"/>
      </w:pPr>
      <w:rPr>
        <w:rFonts w:ascii="Wingdings" w:hAnsi="Wingdings" w:hint="default"/>
        <w:color w:val="1F3864"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D114F"/>
    <w:multiLevelType w:val="hybridMultilevel"/>
    <w:tmpl w:val="FE4AF2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DE6DC4"/>
    <w:multiLevelType w:val="multilevel"/>
    <w:tmpl w:val="805007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D840788"/>
    <w:multiLevelType w:val="hybridMultilevel"/>
    <w:tmpl w:val="1ABE6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83AF9"/>
    <w:multiLevelType w:val="hybridMultilevel"/>
    <w:tmpl w:val="33CA1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10533"/>
    <w:multiLevelType w:val="hybridMultilevel"/>
    <w:tmpl w:val="94B69ED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DCB1B8D"/>
    <w:multiLevelType w:val="hybridMultilevel"/>
    <w:tmpl w:val="3766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469311">
    <w:abstractNumId w:val="1"/>
  </w:num>
  <w:num w:numId="2" w16cid:durableId="699478180">
    <w:abstractNumId w:val="7"/>
  </w:num>
  <w:num w:numId="3" w16cid:durableId="1404375307">
    <w:abstractNumId w:val="8"/>
  </w:num>
  <w:num w:numId="4" w16cid:durableId="1224874219">
    <w:abstractNumId w:val="9"/>
  </w:num>
  <w:num w:numId="5" w16cid:durableId="2035645770">
    <w:abstractNumId w:val="6"/>
  </w:num>
  <w:num w:numId="6" w16cid:durableId="895580281">
    <w:abstractNumId w:val="0"/>
  </w:num>
  <w:num w:numId="7" w16cid:durableId="379669211">
    <w:abstractNumId w:val="5"/>
  </w:num>
  <w:num w:numId="8" w16cid:durableId="1539270139">
    <w:abstractNumId w:val="2"/>
  </w:num>
  <w:num w:numId="9" w16cid:durableId="592855833">
    <w:abstractNumId w:val="3"/>
  </w:num>
  <w:num w:numId="10" w16cid:durableId="84332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6D"/>
    <w:rsid w:val="00003DEF"/>
    <w:rsid w:val="00006788"/>
    <w:rsid w:val="00006B4F"/>
    <w:rsid w:val="000074AA"/>
    <w:rsid w:val="000137F1"/>
    <w:rsid w:val="000167A5"/>
    <w:rsid w:val="00020536"/>
    <w:rsid w:val="000409AF"/>
    <w:rsid w:val="00042584"/>
    <w:rsid w:val="000500C6"/>
    <w:rsid w:val="00053388"/>
    <w:rsid w:val="00057E51"/>
    <w:rsid w:val="00062C0C"/>
    <w:rsid w:val="00063152"/>
    <w:rsid w:val="00063D79"/>
    <w:rsid w:val="000674A7"/>
    <w:rsid w:val="00077424"/>
    <w:rsid w:val="000778A3"/>
    <w:rsid w:val="000823ED"/>
    <w:rsid w:val="00082CBC"/>
    <w:rsid w:val="000859E7"/>
    <w:rsid w:val="000A1563"/>
    <w:rsid w:val="000A3134"/>
    <w:rsid w:val="000B3575"/>
    <w:rsid w:val="000B427E"/>
    <w:rsid w:val="000B5AAB"/>
    <w:rsid w:val="000C458B"/>
    <w:rsid w:val="000E7DC6"/>
    <w:rsid w:val="000F1EFB"/>
    <w:rsid w:val="000F3142"/>
    <w:rsid w:val="000F7EF7"/>
    <w:rsid w:val="00101F7A"/>
    <w:rsid w:val="00102DCB"/>
    <w:rsid w:val="001053DA"/>
    <w:rsid w:val="001112C6"/>
    <w:rsid w:val="0011131F"/>
    <w:rsid w:val="00113D3E"/>
    <w:rsid w:val="0011587F"/>
    <w:rsid w:val="00120E69"/>
    <w:rsid w:val="001221EC"/>
    <w:rsid w:val="0013031C"/>
    <w:rsid w:val="001332ED"/>
    <w:rsid w:val="00137189"/>
    <w:rsid w:val="001377B4"/>
    <w:rsid w:val="0013783D"/>
    <w:rsid w:val="001422E4"/>
    <w:rsid w:val="001534A9"/>
    <w:rsid w:val="00157BCC"/>
    <w:rsid w:val="00161DD2"/>
    <w:rsid w:val="00180FD1"/>
    <w:rsid w:val="00182CF6"/>
    <w:rsid w:val="00183C0B"/>
    <w:rsid w:val="0019322E"/>
    <w:rsid w:val="00196FF8"/>
    <w:rsid w:val="001A3235"/>
    <w:rsid w:val="001A7066"/>
    <w:rsid w:val="001B0D99"/>
    <w:rsid w:val="001B1A5E"/>
    <w:rsid w:val="001B1C92"/>
    <w:rsid w:val="001C22BA"/>
    <w:rsid w:val="001D1872"/>
    <w:rsid w:val="001D45D6"/>
    <w:rsid w:val="001E0D6C"/>
    <w:rsid w:val="001E4816"/>
    <w:rsid w:val="001F31D4"/>
    <w:rsid w:val="001F7CD5"/>
    <w:rsid w:val="00202F4D"/>
    <w:rsid w:val="002127D6"/>
    <w:rsid w:val="00214DCA"/>
    <w:rsid w:val="00217F89"/>
    <w:rsid w:val="00222A55"/>
    <w:rsid w:val="00223F42"/>
    <w:rsid w:val="00242160"/>
    <w:rsid w:val="002450A8"/>
    <w:rsid w:val="00253A8B"/>
    <w:rsid w:val="00285742"/>
    <w:rsid w:val="00285D0B"/>
    <w:rsid w:val="002A4F6A"/>
    <w:rsid w:val="002B109A"/>
    <w:rsid w:val="002B117A"/>
    <w:rsid w:val="002B3427"/>
    <w:rsid w:val="002B52B6"/>
    <w:rsid w:val="002B55D6"/>
    <w:rsid w:val="002B76AE"/>
    <w:rsid w:val="002D1893"/>
    <w:rsid w:val="002D4B86"/>
    <w:rsid w:val="002D522A"/>
    <w:rsid w:val="002F3F40"/>
    <w:rsid w:val="003039E4"/>
    <w:rsid w:val="00303B23"/>
    <w:rsid w:val="00304120"/>
    <w:rsid w:val="00305495"/>
    <w:rsid w:val="00307A2C"/>
    <w:rsid w:val="003114EF"/>
    <w:rsid w:val="00315D3E"/>
    <w:rsid w:val="00320537"/>
    <w:rsid w:val="00324B6D"/>
    <w:rsid w:val="003376DC"/>
    <w:rsid w:val="00346E5F"/>
    <w:rsid w:val="00347E45"/>
    <w:rsid w:val="00353D3E"/>
    <w:rsid w:val="003558CC"/>
    <w:rsid w:val="003563CE"/>
    <w:rsid w:val="00360010"/>
    <w:rsid w:val="003627A6"/>
    <w:rsid w:val="00362958"/>
    <w:rsid w:val="00372C6D"/>
    <w:rsid w:val="00383779"/>
    <w:rsid w:val="003915E5"/>
    <w:rsid w:val="00393E30"/>
    <w:rsid w:val="003B2C79"/>
    <w:rsid w:val="003C1024"/>
    <w:rsid w:val="003C4095"/>
    <w:rsid w:val="003C67FA"/>
    <w:rsid w:val="003C7199"/>
    <w:rsid w:val="003E097E"/>
    <w:rsid w:val="003E26AC"/>
    <w:rsid w:val="003E54E7"/>
    <w:rsid w:val="003F262A"/>
    <w:rsid w:val="003F38AC"/>
    <w:rsid w:val="00400341"/>
    <w:rsid w:val="00411100"/>
    <w:rsid w:val="00415783"/>
    <w:rsid w:val="0042026E"/>
    <w:rsid w:val="0042204F"/>
    <w:rsid w:val="00422FD4"/>
    <w:rsid w:val="00432297"/>
    <w:rsid w:val="004345E0"/>
    <w:rsid w:val="00442C20"/>
    <w:rsid w:val="00444780"/>
    <w:rsid w:val="0044485A"/>
    <w:rsid w:val="00446781"/>
    <w:rsid w:val="00456108"/>
    <w:rsid w:val="00460C31"/>
    <w:rsid w:val="00470524"/>
    <w:rsid w:val="004766AA"/>
    <w:rsid w:val="00476FC0"/>
    <w:rsid w:val="004773B5"/>
    <w:rsid w:val="00483ABF"/>
    <w:rsid w:val="00490AFF"/>
    <w:rsid w:val="00494005"/>
    <w:rsid w:val="00496190"/>
    <w:rsid w:val="00496D80"/>
    <w:rsid w:val="004A2A97"/>
    <w:rsid w:val="004B1463"/>
    <w:rsid w:val="004B4C01"/>
    <w:rsid w:val="004C1E04"/>
    <w:rsid w:val="004C3E22"/>
    <w:rsid w:val="004F314A"/>
    <w:rsid w:val="005077C8"/>
    <w:rsid w:val="0051041C"/>
    <w:rsid w:val="00532561"/>
    <w:rsid w:val="00535EA7"/>
    <w:rsid w:val="00543821"/>
    <w:rsid w:val="005460AE"/>
    <w:rsid w:val="00557C5B"/>
    <w:rsid w:val="00563492"/>
    <w:rsid w:val="0056442A"/>
    <w:rsid w:val="005817D7"/>
    <w:rsid w:val="005853AC"/>
    <w:rsid w:val="00585A95"/>
    <w:rsid w:val="00595576"/>
    <w:rsid w:val="00596851"/>
    <w:rsid w:val="005C074A"/>
    <w:rsid w:val="005C545D"/>
    <w:rsid w:val="005D5E3E"/>
    <w:rsid w:val="005D79D1"/>
    <w:rsid w:val="005E1A45"/>
    <w:rsid w:val="005E2878"/>
    <w:rsid w:val="006068FD"/>
    <w:rsid w:val="00627D41"/>
    <w:rsid w:val="006323A3"/>
    <w:rsid w:val="00633BA6"/>
    <w:rsid w:val="00636570"/>
    <w:rsid w:val="00644CB7"/>
    <w:rsid w:val="00645163"/>
    <w:rsid w:val="00647906"/>
    <w:rsid w:val="00650446"/>
    <w:rsid w:val="0065431D"/>
    <w:rsid w:val="00655A33"/>
    <w:rsid w:val="00656474"/>
    <w:rsid w:val="00656925"/>
    <w:rsid w:val="00661B70"/>
    <w:rsid w:val="006665B4"/>
    <w:rsid w:val="0068018D"/>
    <w:rsid w:val="00680D8D"/>
    <w:rsid w:val="006810E8"/>
    <w:rsid w:val="00691435"/>
    <w:rsid w:val="006949F8"/>
    <w:rsid w:val="00695C5E"/>
    <w:rsid w:val="006A1FB0"/>
    <w:rsid w:val="006A5691"/>
    <w:rsid w:val="006B1CC6"/>
    <w:rsid w:val="006B284A"/>
    <w:rsid w:val="006B63C7"/>
    <w:rsid w:val="006C4D6E"/>
    <w:rsid w:val="006D12F8"/>
    <w:rsid w:val="006E519C"/>
    <w:rsid w:val="006E536A"/>
    <w:rsid w:val="006E61A8"/>
    <w:rsid w:val="006E6FF0"/>
    <w:rsid w:val="006F0834"/>
    <w:rsid w:val="006F4E3D"/>
    <w:rsid w:val="006F535A"/>
    <w:rsid w:val="006F5D73"/>
    <w:rsid w:val="006F6B51"/>
    <w:rsid w:val="006F6B68"/>
    <w:rsid w:val="00710FCF"/>
    <w:rsid w:val="0071148A"/>
    <w:rsid w:val="0071416D"/>
    <w:rsid w:val="0072786D"/>
    <w:rsid w:val="00732A39"/>
    <w:rsid w:val="007354A5"/>
    <w:rsid w:val="00735AB5"/>
    <w:rsid w:val="00737DB4"/>
    <w:rsid w:val="00740604"/>
    <w:rsid w:val="007425AD"/>
    <w:rsid w:val="00747ADD"/>
    <w:rsid w:val="00762577"/>
    <w:rsid w:val="00772E22"/>
    <w:rsid w:val="0077755A"/>
    <w:rsid w:val="0078296A"/>
    <w:rsid w:val="00786350"/>
    <w:rsid w:val="00792A6A"/>
    <w:rsid w:val="00792E99"/>
    <w:rsid w:val="0079526C"/>
    <w:rsid w:val="00796C47"/>
    <w:rsid w:val="007A32A4"/>
    <w:rsid w:val="007C2B55"/>
    <w:rsid w:val="007D1E93"/>
    <w:rsid w:val="007D7031"/>
    <w:rsid w:val="007E1282"/>
    <w:rsid w:val="007E4415"/>
    <w:rsid w:val="007F0A45"/>
    <w:rsid w:val="007F2746"/>
    <w:rsid w:val="0080256A"/>
    <w:rsid w:val="0080484A"/>
    <w:rsid w:val="00814982"/>
    <w:rsid w:val="0082020C"/>
    <w:rsid w:val="00822967"/>
    <w:rsid w:val="00824D19"/>
    <w:rsid w:val="00834111"/>
    <w:rsid w:val="00835003"/>
    <w:rsid w:val="00840CA7"/>
    <w:rsid w:val="00846377"/>
    <w:rsid w:val="008473A6"/>
    <w:rsid w:val="00852D1C"/>
    <w:rsid w:val="008567A7"/>
    <w:rsid w:val="00861F2B"/>
    <w:rsid w:val="00862B7A"/>
    <w:rsid w:val="0086508A"/>
    <w:rsid w:val="00865C0A"/>
    <w:rsid w:val="00875C40"/>
    <w:rsid w:val="00880C14"/>
    <w:rsid w:val="00886D12"/>
    <w:rsid w:val="00890ED9"/>
    <w:rsid w:val="008A3938"/>
    <w:rsid w:val="008C21B9"/>
    <w:rsid w:val="008C2E8D"/>
    <w:rsid w:val="008C3276"/>
    <w:rsid w:val="008C3C1E"/>
    <w:rsid w:val="008C4AE2"/>
    <w:rsid w:val="008D1CCC"/>
    <w:rsid w:val="008D37AC"/>
    <w:rsid w:val="008E00B0"/>
    <w:rsid w:val="008E321A"/>
    <w:rsid w:val="008E6F9E"/>
    <w:rsid w:val="008F068B"/>
    <w:rsid w:val="00901077"/>
    <w:rsid w:val="009021F2"/>
    <w:rsid w:val="0090715E"/>
    <w:rsid w:val="00910A44"/>
    <w:rsid w:val="009142AA"/>
    <w:rsid w:val="00920E6B"/>
    <w:rsid w:val="009262EC"/>
    <w:rsid w:val="00926A9F"/>
    <w:rsid w:val="00933725"/>
    <w:rsid w:val="00933B64"/>
    <w:rsid w:val="00935F42"/>
    <w:rsid w:val="00951668"/>
    <w:rsid w:val="00951695"/>
    <w:rsid w:val="00953272"/>
    <w:rsid w:val="00956D86"/>
    <w:rsid w:val="0096372F"/>
    <w:rsid w:val="00987FB0"/>
    <w:rsid w:val="0099098B"/>
    <w:rsid w:val="00992687"/>
    <w:rsid w:val="00992BF8"/>
    <w:rsid w:val="00995000"/>
    <w:rsid w:val="00995936"/>
    <w:rsid w:val="009A27E7"/>
    <w:rsid w:val="009A2CB2"/>
    <w:rsid w:val="009D1999"/>
    <w:rsid w:val="009D1DA0"/>
    <w:rsid w:val="009E30AF"/>
    <w:rsid w:val="009E5461"/>
    <w:rsid w:val="00A13EE3"/>
    <w:rsid w:val="00A218FB"/>
    <w:rsid w:val="00A21CC0"/>
    <w:rsid w:val="00A22D07"/>
    <w:rsid w:val="00A238B0"/>
    <w:rsid w:val="00A353E5"/>
    <w:rsid w:val="00A47931"/>
    <w:rsid w:val="00A50BF9"/>
    <w:rsid w:val="00A55B86"/>
    <w:rsid w:val="00A57292"/>
    <w:rsid w:val="00A60041"/>
    <w:rsid w:val="00A65C75"/>
    <w:rsid w:val="00A71E45"/>
    <w:rsid w:val="00A8130D"/>
    <w:rsid w:val="00A8244A"/>
    <w:rsid w:val="00A83C52"/>
    <w:rsid w:val="00A84E23"/>
    <w:rsid w:val="00A850D8"/>
    <w:rsid w:val="00A85521"/>
    <w:rsid w:val="00A936AC"/>
    <w:rsid w:val="00A967FC"/>
    <w:rsid w:val="00AB0A8C"/>
    <w:rsid w:val="00AB0F58"/>
    <w:rsid w:val="00AB3EBD"/>
    <w:rsid w:val="00AB6F9D"/>
    <w:rsid w:val="00AC156C"/>
    <w:rsid w:val="00AC17E1"/>
    <w:rsid w:val="00AC2ADA"/>
    <w:rsid w:val="00AC2C54"/>
    <w:rsid w:val="00AC3E78"/>
    <w:rsid w:val="00AE33F4"/>
    <w:rsid w:val="00AE3CAE"/>
    <w:rsid w:val="00AE59C7"/>
    <w:rsid w:val="00AE6A95"/>
    <w:rsid w:val="00B02102"/>
    <w:rsid w:val="00B03AE5"/>
    <w:rsid w:val="00B03BCE"/>
    <w:rsid w:val="00B1192C"/>
    <w:rsid w:val="00B12256"/>
    <w:rsid w:val="00B2161D"/>
    <w:rsid w:val="00B253AC"/>
    <w:rsid w:val="00B37C5D"/>
    <w:rsid w:val="00B5788F"/>
    <w:rsid w:val="00B62E69"/>
    <w:rsid w:val="00B65551"/>
    <w:rsid w:val="00B82BC2"/>
    <w:rsid w:val="00B8657C"/>
    <w:rsid w:val="00B962C5"/>
    <w:rsid w:val="00BA3FF3"/>
    <w:rsid w:val="00BA4B24"/>
    <w:rsid w:val="00BB3066"/>
    <w:rsid w:val="00BB5B25"/>
    <w:rsid w:val="00BC218A"/>
    <w:rsid w:val="00BD322A"/>
    <w:rsid w:val="00BD46CF"/>
    <w:rsid w:val="00BE6BC3"/>
    <w:rsid w:val="00BF2E57"/>
    <w:rsid w:val="00BF3A0D"/>
    <w:rsid w:val="00BF4589"/>
    <w:rsid w:val="00BF7BEA"/>
    <w:rsid w:val="00C00900"/>
    <w:rsid w:val="00C0423A"/>
    <w:rsid w:val="00C04E7C"/>
    <w:rsid w:val="00C16C5A"/>
    <w:rsid w:val="00C21E12"/>
    <w:rsid w:val="00C22392"/>
    <w:rsid w:val="00C26F2C"/>
    <w:rsid w:val="00C31149"/>
    <w:rsid w:val="00C44C33"/>
    <w:rsid w:val="00C46CB2"/>
    <w:rsid w:val="00C60485"/>
    <w:rsid w:val="00C70778"/>
    <w:rsid w:val="00C721F0"/>
    <w:rsid w:val="00C7525E"/>
    <w:rsid w:val="00C77D00"/>
    <w:rsid w:val="00C8262E"/>
    <w:rsid w:val="00C905F1"/>
    <w:rsid w:val="00C96033"/>
    <w:rsid w:val="00C979F5"/>
    <w:rsid w:val="00CB0912"/>
    <w:rsid w:val="00CB5ED4"/>
    <w:rsid w:val="00CC15BF"/>
    <w:rsid w:val="00CC19CE"/>
    <w:rsid w:val="00CC5843"/>
    <w:rsid w:val="00CC7135"/>
    <w:rsid w:val="00CE36DC"/>
    <w:rsid w:val="00CE5B11"/>
    <w:rsid w:val="00CF2281"/>
    <w:rsid w:val="00D03167"/>
    <w:rsid w:val="00D03406"/>
    <w:rsid w:val="00D11217"/>
    <w:rsid w:val="00D17F8B"/>
    <w:rsid w:val="00D256F2"/>
    <w:rsid w:val="00D26B7C"/>
    <w:rsid w:val="00D27929"/>
    <w:rsid w:val="00D27932"/>
    <w:rsid w:val="00D43CA6"/>
    <w:rsid w:val="00D459AF"/>
    <w:rsid w:val="00D466BF"/>
    <w:rsid w:val="00D65385"/>
    <w:rsid w:val="00D71BB0"/>
    <w:rsid w:val="00D71EFF"/>
    <w:rsid w:val="00D723A4"/>
    <w:rsid w:val="00D83330"/>
    <w:rsid w:val="00D901E1"/>
    <w:rsid w:val="00D929CE"/>
    <w:rsid w:val="00D97AAA"/>
    <w:rsid w:val="00DB2F17"/>
    <w:rsid w:val="00DB3ED8"/>
    <w:rsid w:val="00DB624F"/>
    <w:rsid w:val="00DC2F88"/>
    <w:rsid w:val="00DC4422"/>
    <w:rsid w:val="00DC6B86"/>
    <w:rsid w:val="00DD1159"/>
    <w:rsid w:val="00DD2011"/>
    <w:rsid w:val="00DD3E3F"/>
    <w:rsid w:val="00DE29B6"/>
    <w:rsid w:val="00DF4664"/>
    <w:rsid w:val="00DF59F1"/>
    <w:rsid w:val="00E00DB2"/>
    <w:rsid w:val="00E0226C"/>
    <w:rsid w:val="00E059B8"/>
    <w:rsid w:val="00E079E1"/>
    <w:rsid w:val="00E12952"/>
    <w:rsid w:val="00E264D3"/>
    <w:rsid w:val="00E328B6"/>
    <w:rsid w:val="00E37545"/>
    <w:rsid w:val="00E433BD"/>
    <w:rsid w:val="00E4518A"/>
    <w:rsid w:val="00E5721F"/>
    <w:rsid w:val="00E577CA"/>
    <w:rsid w:val="00E746EA"/>
    <w:rsid w:val="00E81842"/>
    <w:rsid w:val="00E81F6D"/>
    <w:rsid w:val="00E82269"/>
    <w:rsid w:val="00E83DAE"/>
    <w:rsid w:val="00E902D5"/>
    <w:rsid w:val="00E96442"/>
    <w:rsid w:val="00EB3E0D"/>
    <w:rsid w:val="00EB47AA"/>
    <w:rsid w:val="00EB4CBD"/>
    <w:rsid w:val="00EB6F89"/>
    <w:rsid w:val="00EC0F62"/>
    <w:rsid w:val="00EC176D"/>
    <w:rsid w:val="00EC1CBB"/>
    <w:rsid w:val="00ED045D"/>
    <w:rsid w:val="00ED5F26"/>
    <w:rsid w:val="00EE3163"/>
    <w:rsid w:val="00EF20CE"/>
    <w:rsid w:val="00EF53DE"/>
    <w:rsid w:val="00EF5C31"/>
    <w:rsid w:val="00F04FB7"/>
    <w:rsid w:val="00F2122F"/>
    <w:rsid w:val="00F23960"/>
    <w:rsid w:val="00F24E42"/>
    <w:rsid w:val="00F30120"/>
    <w:rsid w:val="00F3014B"/>
    <w:rsid w:val="00F356AB"/>
    <w:rsid w:val="00F50652"/>
    <w:rsid w:val="00F520A5"/>
    <w:rsid w:val="00F57A78"/>
    <w:rsid w:val="00F64336"/>
    <w:rsid w:val="00F6796F"/>
    <w:rsid w:val="00F730E1"/>
    <w:rsid w:val="00F73F88"/>
    <w:rsid w:val="00F76685"/>
    <w:rsid w:val="00F821B4"/>
    <w:rsid w:val="00F92934"/>
    <w:rsid w:val="00F94BD2"/>
    <w:rsid w:val="00FA32B6"/>
    <w:rsid w:val="00FC4C2C"/>
    <w:rsid w:val="00FC7A11"/>
    <w:rsid w:val="00FD37DF"/>
    <w:rsid w:val="00FF36BE"/>
    <w:rsid w:val="00FF74D5"/>
    <w:rsid w:val="07DA54FB"/>
    <w:rsid w:val="11925E3F"/>
    <w:rsid w:val="15144E38"/>
    <w:rsid w:val="16E54004"/>
    <w:rsid w:val="1712BE17"/>
    <w:rsid w:val="18E459B5"/>
    <w:rsid w:val="18ED435A"/>
    <w:rsid w:val="1C2D9AF0"/>
    <w:rsid w:val="1DCEF9FC"/>
    <w:rsid w:val="20FE16BB"/>
    <w:rsid w:val="211BD1A4"/>
    <w:rsid w:val="24BDD24A"/>
    <w:rsid w:val="2A743DB3"/>
    <w:rsid w:val="2E38B8EA"/>
    <w:rsid w:val="2ECEDA75"/>
    <w:rsid w:val="2F5BAC71"/>
    <w:rsid w:val="312576AF"/>
    <w:rsid w:val="322520E9"/>
    <w:rsid w:val="380F9BD6"/>
    <w:rsid w:val="388C4311"/>
    <w:rsid w:val="3BA59172"/>
    <w:rsid w:val="3BF0E155"/>
    <w:rsid w:val="3D8F4267"/>
    <w:rsid w:val="3DC3C7CD"/>
    <w:rsid w:val="3ED67F27"/>
    <w:rsid w:val="421730D6"/>
    <w:rsid w:val="458212AC"/>
    <w:rsid w:val="47F5C119"/>
    <w:rsid w:val="4F37B97A"/>
    <w:rsid w:val="50E502FE"/>
    <w:rsid w:val="5207D29C"/>
    <w:rsid w:val="541A9A74"/>
    <w:rsid w:val="57062298"/>
    <w:rsid w:val="5A873CF0"/>
    <w:rsid w:val="630D6FA1"/>
    <w:rsid w:val="6401015A"/>
    <w:rsid w:val="65E66398"/>
    <w:rsid w:val="6681FCFA"/>
    <w:rsid w:val="66E6B357"/>
    <w:rsid w:val="6767B394"/>
    <w:rsid w:val="694D55C3"/>
    <w:rsid w:val="6B659D5D"/>
    <w:rsid w:val="6D7D6208"/>
    <w:rsid w:val="6EA4C077"/>
    <w:rsid w:val="70CFDB8B"/>
    <w:rsid w:val="7423E4AD"/>
    <w:rsid w:val="759B2D52"/>
    <w:rsid w:val="76700571"/>
    <w:rsid w:val="78900234"/>
    <w:rsid w:val="7A3BBF06"/>
    <w:rsid w:val="7D5C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183E0"/>
  <w15:chartTrackingRefBased/>
  <w15:docId w15:val="{DF561DE0-9D39-467D-8104-5CE54F1E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C156C"/>
    <w:pPr>
      <w:keepNext/>
      <w:keepLines/>
      <w:spacing w:before="240" w:after="120" w:line="240" w:lineRule="auto"/>
      <w:outlineLvl w:val="0"/>
    </w:pPr>
    <w:rPr>
      <w:rFonts w:ascii="Century Gothic" w:eastAsiaTheme="majorEastAsia" w:hAnsi="Century Gothic" w:cstheme="majorBidi"/>
      <w:b/>
      <w:bCs/>
      <w:color w:val="1AA3DD"/>
      <w:szCs w:val="28"/>
      <w:lang w:val="en-CA"/>
    </w:rPr>
  </w:style>
  <w:style w:type="paragraph" w:styleId="Heading2">
    <w:name w:val="heading 2"/>
    <w:basedOn w:val="Normal"/>
    <w:next w:val="Normal"/>
    <w:link w:val="Heading2Char"/>
    <w:uiPriority w:val="9"/>
    <w:unhideWhenUsed/>
    <w:qFormat/>
    <w:rsid w:val="00F212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list,Unordered List Level 1,Lettre d'introduction,List Paragraph1,Recommendation,List Paragraph11,List Paragraph - bullets,Resume Title,Dot pt,F5 List Paragraph,List Paragraph Char Char Char,Indicator Text,Bullet"/>
    <w:basedOn w:val="Normal"/>
    <w:link w:val="ListParagraphChar"/>
    <w:uiPriority w:val="34"/>
    <w:qFormat/>
    <w:rsid w:val="00992687"/>
    <w:pPr>
      <w:spacing w:after="200" w:line="276" w:lineRule="auto"/>
      <w:ind w:left="720"/>
      <w:contextualSpacing/>
    </w:pPr>
  </w:style>
  <w:style w:type="paragraph" w:customStyle="1" w:styleId="Body">
    <w:name w:val="Body"/>
    <w:rsid w:val="00992687"/>
    <w:pPr>
      <w:pBdr>
        <w:top w:val="nil"/>
        <w:left w:val="nil"/>
        <w:bottom w:val="nil"/>
        <w:right w:val="nil"/>
        <w:between w:val="nil"/>
        <w:bar w:val="nil"/>
      </w:pBdr>
      <w:spacing w:before="120" w:after="120" w:line="240" w:lineRule="auto"/>
      <w:ind w:left="450"/>
    </w:pPr>
    <w:rPr>
      <w:rFonts w:ascii="Calibri" w:eastAsia="Calibri" w:hAnsi="Calibri" w:cs="Calibri"/>
      <w:color w:val="000000"/>
      <w:u w:color="000000"/>
      <w:bdr w:val="nil"/>
    </w:rPr>
  </w:style>
  <w:style w:type="paragraph" w:styleId="Subtitle">
    <w:name w:val="Subtitle"/>
    <w:next w:val="Body"/>
    <w:link w:val="SubtitleChar"/>
    <w:rsid w:val="00992687"/>
    <w:pPr>
      <w:pBdr>
        <w:top w:val="nil"/>
        <w:left w:val="nil"/>
        <w:bottom w:val="nil"/>
        <w:right w:val="nil"/>
        <w:between w:val="nil"/>
        <w:bar w:val="nil"/>
      </w:pBdr>
      <w:spacing w:after="0" w:line="240" w:lineRule="auto"/>
    </w:pPr>
    <w:rPr>
      <w:rFonts w:ascii="Helvetica" w:eastAsia="Helvetica" w:hAnsi="Helvetica" w:cs="Helvetica"/>
      <w:color w:val="000000"/>
      <w:sz w:val="40"/>
      <w:szCs w:val="40"/>
      <w:bdr w:val="nil"/>
    </w:rPr>
  </w:style>
  <w:style w:type="character" w:customStyle="1" w:styleId="SubtitleChar">
    <w:name w:val="Subtitle Char"/>
    <w:basedOn w:val="DefaultParagraphFont"/>
    <w:link w:val="Subtitle"/>
    <w:rsid w:val="00992687"/>
    <w:rPr>
      <w:rFonts w:ascii="Helvetica" w:eastAsia="Helvetica" w:hAnsi="Helvetica" w:cs="Helvetica"/>
      <w:color w:val="000000"/>
      <w:sz w:val="40"/>
      <w:szCs w:val="40"/>
      <w:bdr w:val="nil"/>
    </w:rPr>
  </w:style>
  <w:style w:type="paragraph" w:styleId="NormalWeb">
    <w:name w:val="Normal (Web)"/>
    <w:basedOn w:val="Normal"/>
    <w:uiPriority w:val="99"/>
    <w:rsid w:val="00992687"/>
    <w:pPr>
      <w:spacing w:before="100" w:beforeAutospacing="1" w:after="100" w:afterAutospacing="1" w:line="240" w:lineRule="auto"/>
    </w:pPr>
    <w:rPr>
      <w:rFonts w:ascii="Arial" w:eastAsia="Arial Unicode MS" w:hAnsi="Arial" w:cs="Arial"/>
      <w:sz w:val="20"/>
      <w:szCs w:val="20"/>
    </w:rPr>
  </w:style>
  <w:style w:type="paragraph" w:styleId="NoSpacing">
    <w:name w:val="No Spacing"/>
    <w:link w:val="NoSpacingChar"/>
    <w:uiPriority w:val="1"/>
    <w:qFormat/>
    <w:rsid w:val="009926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styleId="Hyperlink">
    <w:name w:val="Hyperlink"/>
    <w:uiPriority w:val="99"/>
    <w:rsid w:val="00992687"/>
    <w:rPr>
      <w:u w:val="single"/>
    </w:rPr>
  </w:style>
  <w:style w:type="paragraph" w:styleId="Header">
    <w:name w:val="header"/>
    <w:basedOn w:val="Normal"/>
    <w:link w:val="HeaderChar"/>
    <w:uiPriority w:val="99"/>
    <w:unhideWhenUsed/>
    <w:rsid w:val="00992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687"/>
  </w:style>
  <w:style w:type="paragraph" w:styleId="Footer">
    <w:name w:val="footer"/>
    <w:basedOn w:val="Normal"/>
    <w:link w:val="FooterChar"/>
    <w:uiPriority w:val="99"/>
    <w:unhideWhenUsed/>
    <w:rsid w:val="0099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87"/>
  </w:style>
  <w:style w:type="paragraph" w:customStyle="1" w:styleId="HeaderLogo">
    <w:name w:val="Header Logo"/>
    <w:link w:val="HeaderLogoChar"/>
    <w:qFormat/>
    <w:rsid w:val="00992687"/>
    <w:pPr>
      <w:spacing w:before="60" w:after="60" w:line="240" w:lineRule="auto"/>
    </w:pPr>
    <w:rPr>
      <w:rFonts w:ascii="Calibri" w:eastAsia="Calibri" w:hAnsi="Calibri" w:cs="Times New Roman"/>
      <w:smallCaps/>
      <w:noProof/>
      <w:sz w:val="28"/>
      <w:lang w:val="en-CA" w:eastAsia="en-CA"/>
    </w:rPr>
  </w:style>
  <w:style w:type="character" w:customStyle="1" w:styleId="HeaderLogoChar">
    <w:name w:val="Header Logo Char"/>
    <w:link w:val="HeaderLogo"/>
    <w:rsid w:val="00992687"/>
    <w:rPr>
      <w:rFonts w:ascii="Calibri" w:eastAsia="Calibri" w:hAnsi="Calibri" w:cs="Times New Roman"/>
      <w:smallCaps/>
      <w:noProof/>
      <w:sz w:val="28"/>
      <w:lang w:val="en-CA" w:eastAsia="en-CA"/>
    </w:rPr>
  </w:style>
  <w:style w:type="character" w:customStyle="1" w:styleId="Heading1Char">
    <w:name w:val="Heading 1 Char"/>
    <w:basedOn w:val="DefaultParagraphFont"/>
    <w:link w:val="Heading1"/>
    <w:uiPriority w:val="9"/>
    <w:rsid w:val="00AC156C"/>
    <w:rPr>
      <w:rFonts w:ascii="Century Gothic" w:eastAsiaTheme="majorEastAsia" w:hAnsi="Century Gothic" w:cstheme="majorBidi"/>
      <w:b/>
      <w:bCs/>
      <w:color w:val="1AA3DD"/>
      <w:szCs w:val="28"/>
      <w:lang w:val="en-CA"/>
    </w:rPr>
  </w:style>
  <w:style w:type="paragraph" w:customStyle="1" w:styleId="TableBody">
    <w:name w:val="Table Body"/>
    <w:basedOn w:val="Normal"/>
    <w:qFormat/>
    <w:rsid w:val="00AC156C"/>
    <w:pPr>
      <w:spacing w:after="0" w:line="240" w:lineRule="auto"/>
      <w:jc w:val="center"/>
    </w:pPr>
    <w:rPr>
      <w:rFonts w:ascii="Arial" w:eastAsia="Times New Roman" w:hAnsi="Arial" w:cs="Times New Roman"/>
      <w:color w:val="000000"/>
      <w:sz w:val="16"/>
      <w:szCs w:val="20"/>
      <w:lang w:val="en-CA"/>
    </w:rPr>
  </w:style>
  <w:style w:type="paragraph" w:customStyle="1" w:styleId="TableLabels">
    <w:name w:val="Table Labels"/>
    <w:basedOn w:val="Normal"/>
    <w:qFormat/>
    <w:rsid w:val="00AC156C"/>
    <w:pPr>
      <w:spacing w:after="0" w:line="240" w:lineRule="auto"/>
      <w:jc w:val="center"/>
    </w:pPr>
    <w:rPr>
      <w:rFonts w:ascii="Arial" w:eastAsia="Times New Roman" w:hAnsi="Arial" w:cs="Times New Roman"/>
      <w:b/>
      <w:bCs/>
      <w:color w:val="FFFFFF" w:themeColor="background1"/>
      <w:sz w:val="16"/>
      <w:szCs w:val="20"/>
      <w:lang w:val="en-CA"/>
    </w:rPr>
  </w:style>
  <w:style w:type="table" w:customStyle="1" w:styleId="Table-small">
    <w:name w:val="Table-small"/>
    <w:basedOn w:val="TableNormal"/>
    <w:uiPriority w:val="99"/>
    <w:rsid w:val="00AC156C"/>
    <w:pPr>
      <w:spacing w:after="0" w:line="240" w:lineRule="auto"/>
    </w:pPr>
    <w:rPr>
      <w:rFonts w:ascii="Arial" w:hAnsi="Arial"/>
      <w:sz w:val="16"/>
    </w:rPr>
    <w:tblP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Pr>
    <w:tcPr>
      <w:vAlign w:val="center"/>
    </w:tcPr>
    <w:tblStylePr w:type="firstRow">
      <w:pPr>
        <w:wordWrap/>
        <w:spacing w:beforeLines="0" w:before="0" w:beforeAutospacing="0" w:afterLines="0" w:after="0" w:afterAutospacing="0"/>
        <w:jc w:val="center"/>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1AA3DD"/>
      </w:tcPr>
    </w:tblStylePr>
  </w:style>
  <w:style w:type="paragraph" w:customStyle="1" w:styleId="Header-title">
    <w:name w:val="Header-title"/>
    <w:basedOn w:val="Normal"/>
    <w:rsid w:val="00AC156C"/>
    <w:pPr>
      <w:spacing w:before="120" w:after="0" w:line="240" w:lineRule="auto"/>
    </w:pPr>
    <w:rPr>
      <w:rFonts w:ascii="Arial" w:eastAsia="Calibri" w:hAnsi="Arial" w:cs="Arial"/>
      <w:b/>
      <w:bCs/>
      <w:iCs/>
      <w:color w:val="00AFEF"/>
      <w:sz w:val="18"/>
      <w:szCs w:val="18"/>
      <w:lang w:val="en-CA"/>
    </w:rPr>
  </w:style>
  <w:style w:type="table" w:customStyle="1" w:styleId="TableGrid1">
    <w:name w:val="Table Grid1"/>
    <w:basedOn w:val="TableNormal"/>
    <w:next w:val="TableGrid"/>
    <w:uiPriority w:val="59"/>
    <w:rsid w:val="00AC156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date">
    <w:name w:val="Header-date"/>
    <w:basedOn w:val="Header-title"/>
    <w:rsid w:val="00AC156C"/>
    <w:pPr>
      <w:spacing w:before="0"/>
    </w:pPr>
    <w:rPr>
      <w:b w:val="0"/>
      <w:color w:val="auto"/>
      <w:sz w:val="16"/>
      <w:szCs w:val="16"/>
    </w:rPr>
  </w:style>
  <w:style w:type="table" w:styleId="TableGrid">
    <w:name w:val="Table Grid"/>
    <w:basedOn w:val="TableNormal"/>
    <w:uiPriority w:val="39"/>
    <w:rsid w:val="00AC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42AA"/>
    <w:rPr>
      <w:color w:val="605E5C"/>
      <w:shd w:val="clear" w:color="auto" w:fill="E1DFDD"/>
    </w:rPr>
  </w:style>
  <w:style w:type="character" w:styleId="PlaceholderText">
    <w:name w:val="Placeholder Text"/>
    <w:basedOn w:val="DefaultParagraphFont"/>
    <w:uiPriority w:val="99"/>
    <w:semiHidden/>
    <w:rsid w:val="007A32A4"/>
    <w:rPr>
      <w:color w:val="808080"/>
    </w:rPr>
  </w:style>
  <w:style w:type="character" w:customStyle="1" w:styleId="Style1">
    <w:name w:val="Style 1"/>
    <w:basedOn w:val="DefaultParagraphFont"/>
    <w:uiPriority w:val="1"/>
    <w:rsid w:val="00304120"/>
    <w:rPr>
      <w:rFonts w:ascii="Century Gothic" w:hAnsi="Century Gothic"/>
      <w:b/>
      <w:color w:val="FFFFFF" w:themeColor="background1"/>
      <w:sz w:val="48"/>
    </w:rPr>
  </w:style>
  <w:style w:type="paragraph" w:styleId="TOCHeading">
    <w:name w:val="TOC Heading"/>
    <w:basedOn w:val="Heading1"/>
    <w:next w:val="Normal"/>
    <w:uiPriority w:val="39"/>
    <w:unhideWhenUsed/>
    <w:qFormat/>
    <w:rsid w:val="007E4415"/>
    <w:pPr>
      <w:spacing w:after="0" w:line="259" w:lineRule="auto"/>
      <w:outlineLvl w:val="9"/>
    </w:pPr>
    <w:rPr>
      <w:rFonts w:asciiTheme="majorHAnsi" w:hAnsiTheme="majorHAnsi"/>
      <w:b w:val="0"/>
      <w:bCs w:val="0"/>
      <w:color w:val="2F5496" w:themeColor="accent1" w:themeShade="BF"/>
      <w:sz w:val="32"/>
      <w:szCs w:val="32"/>
      <w:lang w:val="en-US"/>
    </w:rPr>
  </w:style>
  <w:style w:type="paragraph" w:styleId="TOC1">
    <w:name w:val="toc 1"/>
    <w:basedOn w:val="Normal"/>
    <w:next w:val="Normal"/>
    <w:autoRedefine/>
    <w:uiPriority w:val="39"/>
    <w:unhideWhenUsed/>
    <w:rsid w:val="00A967FC"/>
    <w:pPr>
      <w:tabs>
        <w:tab w:val="left" w:pos="440"/>
        <w:tab w:val="right" w:leader="dot" w:pos="9350"/>
      </w:tabs>
      <w:spacing w:after="100"/>
    </w:pPr>
  </w:style>
  <w:style w:type="character" w:customStyle="1" w:styleId="Style2">
    <w:name w:val="Style2"/>
    <w:basedOn w:val="DefaultParagraphFont"/>
    <w:uiPriority w:val="1"/>
    <w:rsid w:val="00DC6B86"/>
    <w:rPr>
      <w:rFonts w:ascii="Arial" w:hAnsi="Arial"/>
      <w:color w:val="FFFFFF" w:themeColor="background1"/>
      <w:sz w:val="22"/>
    </w:rPr>
  </w:style>
  <w:style w:type="character" w:styleId="FollowedHyperlink">
    <w:name w:val="FollowedHyperlink"/>
    <w:basedOn w:val="DefaultParagraphFont"/>
    <w:uiPriority w:val="99"/>
    <w:semiHidden/>
    <w:unhideWhenUsed/>
    <w:rsid w:val="00910A44"/>
    <w:rPr>
      <w:color w:val="954F72" w:themeColor="followedHyperlink"/>
      <w:u w:val="single"/>
    </w:rPr>
  </w:style>
  <w:style w:type="paragraph" w:customStyle="1" w:styleId="Policytemplatetitle">
    <w:name w:val="Policy template title"/>
    <w:basedOn w:val="Heading1"/>
    <w:link w:val="PolicytemplatetitleChar"/>
    <w:qFormat/>
    <w:rsid w:val="002B117A"/>
    <w:rPr>
      <w:rFonts w:asciiTheme="minorHAnsi" w:hAnsiTheme="minorHAnsi" w:cstheme="minorHAnsi"/>
      <w:color w:val="002060"/>
      <w:sz w:val="28"/>
    </w:rPr>
  </w:style>
  <w:style w:type="character" w:customStyle="1" w:styleId="PolicytemplatetitleChar">
    <w:name w:val="Policy template title Char"/>
    <w:basedOn w:val="Heading1Char"/>
    <w:link w:val="Policytemplatetitle"/>
    <w:rsid w:val="002B117A"/>
    <w:rPr>
      <w:rFonts w:ascii="Century Gothic" w:eastAsiaTheme="majorEastAsia" w:hAnsi="Century Gothic" w:cstheme="minorHAnsi"/>
      <w:b/>
      <w:bCs/>
      <w:color w:val="002060"/>
      <w:sz w:val="28"/>
      <w:szCs w:val="28"/>
      <w:lang w:val="en-CA"/>
    </w:rPr>
  </w:style>
  <w:style w:type="character" w:customStyle="1" w:styleId="NoSpacingChar">
    <w:name w:val="No Spacing Char"/>
    <w:link w:val="NoSpacing"/>
    <w:uiPriority w:val="1"/>
    <w:rsid w:val="002B117A"/>
    <w:rPr>
      <w:rFonts w:ascii="Times New Roman" w:eastAsia="Arial Unicode MS" w:hAnsi="Times New Roman" w:cs="Times New Roman"/>
      <w:sz w:val="24"/>
      <w:szCs w:val="24"/>
      <w:bdr w:val="nil"/>
    </w:rPr>
  </w:style>
  <w:style w:type="paragraph" w:styleId="Title">
    <w:name w:val="Title"/>
    <w:basedOn w:val="Normal"/>
    <w:next w:val="Normal"/>
    <w:link w:val="TitleChar"/>
    <w:uiPriority w:val="10"/>
    <w:qFormat/>
    <w:rsid w:val="002B11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17A"/>
    <w:rPr>
      <w:rFonts w:asciiTheme="majorHAnsi" w:eastAsiaTheme="majorEastAsia" w:hAnsiTheme="majorHAnsi" w:cstheme="majorBidi"/>
      <w:spacing w:val="-10"/>
      <w:kern w:val="28"/>
      <w:sz w:val="56"/>
      <w:szCs w:val="56"/>
    </w:rPr>
  </w:style>
  <w:style w:type="paragraph" w:customStyle="1" w:styleId="BulletL1">
    <w:name w:val="Bullet L1"/>
    <w:basedOn w:val="Normal"/>
    <w:qFormat/>
    <w:rsid w:val="00496D80"/>
    <w:pPr>
      <w:numPr>
        <w:numId w:val="9"/>
      </w:numPr>
      <w:spacing w:after="0" w:line="240" w:lineRule="auto"/>
    </w:pPr>
    <w:rPr>
      <w:rFonts w:ascii="Arial" w:eastAsia="Calibri" w:hAnsi="Arial" w:cs="Arial"/>
      <w:color w:val="000000" w:themeColor="text1"/>
      <w:sz w:val="18"/>
      <w:szCs w:val="18"/>
      <w:lang w:val="en-CA"/>
    </w:rPr>
  </w:style>
  <w:style w:type="paragraph" w:styleId="Revision">
    <w:name w:val="Revision"/>
    <w:hidden/>
    <w:uiPriority w:val="99"/>
    <w:semiHidden/>
    <w:rsid w:val="00786350"/>
    <w:pPr>
      <w:spacing w:after="0" w:line="240" w:lineRule="auto"/>
    </w:pPr>
  </w:style>
  <w:style w:type="character" w:styleId="CommentReference">
    <w:name w:val="annotation reference"/>
    <w:basedOn w:val="DefaultParagraphFont"/>
    <w:uiPriority w:val="99"/>
    <w:semiHidden/>
    <w:unhideWhenUsed/>
    <w:rsid w:val="00DC2F88"/>
    <w:rPr>
      <w:sz w:val="16"/>
      <w:szCs w:val="16"/>
    </w:rPr>
  </w:style>
  <w:style w:type="paragraph" w:styleId="CommentText">
    <w:name w:val="annotation text"/>
    <w:basedOn w:val="Normal"/>
    <w:link w:val="CommentTextChar"/>
    <w:uiPriority w:val="99"/>
    <w:unhideWhenUsed/>
    <w:rsid w:val="00DC2F88"/>
    <w:pPr>
      <w:spacing w:line="240" w:lineRule="auto"/>
    </w:pPr>
    <w:rPr>
      <w:sz w:val="20"/>
      <w:szCs w:val="20"/>
    </w:rPr>
  </w:style>
  <w:style w:type="character" w:customStyle="1" w:styleId="CommentTextChar">
    <w:name w:val="Comment Text Char"/>
    <w:basedOn w:val="DefaultParagraphFont"/>
    <w:link w:val="CommentText"/>
    <w:uiPriority w:val="99"/>
    <w:rsid w:val="00DC2F88"/>
    <w:rPr>
      <w:sz w:val="20"/>
      <w:szCs w:val="20"/>
    </w:rPr>
  </w:style>
  <w:style w:type="paragraph" w:styleId="CommentSubject">
    <w:name w:val="annotation subject"/>
    <w:basedOn w:val="CommentText"/>
    <w:next w:val="CommentText"/>
    <w:link w:val="CommentSubjectChar"/>
    <w:uiPriority w:val="99"/>
    <w:semiHidden/>
    <w:unhideWhenUsed/>
    <w:rsid w:val="00DC2F88"/>
    <w:rPr>
      <w:b/>
      <w:bCs/>
    </w:rPr>
  </w:style>
  <w:style w:type="character" w:customStyle="1" w:styleId="CommentSubjectChar">
    <w:name w:val="Comment Subject Char"/>
    <w:basedOn w:val="CommentTextChar"/>
    <w:link w:val="CommentSubject"/>
    <w:uiPriority w:val="99"/>
    <w:semiHidden/>
    <w:rsid w:val="00DC2F88"/>
    <w:rPr>
      <w:b/>
      <w:bCs/>
      <w:sz w:val="20"/>
      <w:szCs w:val="20"/>
    </w:rPr>
  </w:style>
  <w:style w:type="character" w:customStyle="1" w:styleId="ListParagraphChar">
    <w:name w:val="List Paragraph Char"/>
    <w:aliases w:val="Indented Paragraph Char,Bullet list Char,Unordered List Level 1 Char,Lettre d'introduction Char,List Paragraph1 Char,Recommendation Char,List Paragraph11 Char,List Paragraph - bullets Char,Resume Title Char,Dot pt Char,Bullet Char"/>
    <w:link w:val="ListParagraph"/>
    <w:uiPriority w:val="34"/>
    <w:qFormat/>
    <w:rsid w:val="001332ED"/>
  </w:style>
  <w:style w:type="character" w:styleId="Mention">
    <w:name w:val="Mention"/>
    <w:basedOn w:val="DefaultParagraphFont"/>
    <w:uiPriority w:val="99"/>
    <w:unhideWhenUsed/>
    <w:rsid w:val="008C2E8D"/>
    <w:rPr>
      <w:color w:val="2B579A"/>
      <w:shd w:val="clear" w:color="auto" w:fill="E1DFDD"/>
    </w:rPr>
  </w:style>
  <w:style w:type="character" w:customStyle="1" w:styleId="Heading2Char">
    <w:name w:val="Heading 2 Char"/>
    <w:basedOn w:val="DefaultParagraphFont"/>
    <w:link w:val="Heading2"/>
    <w:uiPriority w:val="9"/>
    <w:rsid w:val="00F212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bouchard@novalex.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overnance@mitacs.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527703985450BA684D9E3DB43ED28"/>
        <w:category>
          <w:name w:val="General"/>
          <w:gallery w:val="placeholder"/>
        </w:category>
        <w:types>
          <w:type w:val="bbPlcHdr"/>
        </w:types>
        <w:behaviors>
          <w:behavior w:val="content"/>
        </w:behaviors>
        <w:guid w:val="{116F6D5B-5257-4AB9-9890-D91DFF1FDB8E}"/>
      </w:docPartPr>
      <w:docPartBody>
        <w:p w:rsidR="00DF1DC7" w:rsidRDefault="00024C99">
          <w:pPr>
            <w:pStyle w:val="4C7527703985450BA684D9E3DB43ED28"/>
          </w:pPr>
          <w:r w:rsidRPr="0062548C">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99"/>
    <w:rsid w:val="00024C99"/>
    <w:rsid w:val="000651F5"/>
    <w:rsid w:val="00396BC8"/>
    <w:rsid w:val="003A6A98"/>
    <w:rsid w:val="004673A3"/>
    <w:rsid w:val="0053443A"/>
    <w:rsid w:val="00555CDC"/>
    <w:rsid w:val="00692D37"/>
    <w:rsid w:val="007757CD"/>
    <w:rsid w:val="00AD0032"/>
    <w:rsid w:val="00CD7297"/>
    <w:rsid w:val="00DF1DC7"/>
    <w:rsid w:val="00E16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C99"/>
    <w:rPr>
      <w:color w:val="808080"/>
    </w:rPr>
  </w:style>
  <w:style w:type="paragraph" w:customStyle="1" w:styleId="4C7527703985450BA684D9E3DB43ED28">
    <w:name w:val="4C7527703985450BA684D9E3DB43E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2023-11-01T00:00:00</PublishDate>
  <Abstract>Whistleblower</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5CFFF77272434AB92BAE19A1C50F4E" ma:contentTypeVersion="11" ma:contentTypeDescription="Create a new document." ma:contentTypeScope="" ma:versionID="8cefb2cf66ac189740191a89c4be58aa">
  <xsd:schema xmlns:xsd="http://www.w3.org/2001/XMLSchema" xmlns:xs="http://www.w3.org/2001/XMLSchema" xmlns:p="http://schemas.microsoft.com/office/2006/metadata/properties" xmlns:ns2="4a272bcf-70b1-4323-abaa-3dc5c3077018" xmlns:ns3="a42c35ac-a336-4cad-a166-3e96b09a883a" targetNamespace="http://schemas.microsoft.com/office/2006/metadata/properties" ma:root="true" ma:fieldsID="ee4b8d2f0c0cc4bd66cc1cdee4d22ff5" ns2:_="" ns3:_="">
    <xsd:import namespace="4a272bcf-70b1-4323-abaa-3dc5c3077018"/>
    <xsd:import namespace="a42c35ac-a336-4cad-a166-3e96b09a8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Year" minOccurs="0"/>
                <xsd:element ref="ns2:Month" minOccurs="0"/>
                <xsd:element ref="ns2:Draft_x002f_Fin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2bcf-70b1-4323-abaa-3dc5c3077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ar" ma:index="14" nillable="true" ma:displayName="Year" ma:format="Dropdown" ma:internalName="Year">
      <xsd:simpleType>
        <xsd:restriction base="dms:Text">
          <xsd:maxLength value="255"/>
        </xsd:restriction>
      </xsd:simpleType>
    </xsd:element>
    <xsd:element name="Month" ma:index="15" nillable="true" ma:displayName="Month" ma:format="Dropdown" ma:internalName="Month">
      <xsd:simpleType>
        <xsd:restriction base="dms:Text">
          <xsd:maxLength value="255"/>
        </xsd:restriction>
      </xsd:simpleType>
    </xsd:element>
    <xsd:element name="Draft_x002f_Final" ma:index="16" nillable="true" ma:displayName="Draft/Final/Archive" ma:format="Dropdown" ma:internalName="Draft_x002f_Final">
      <xsd:simpleType>
        <xsd:restriction base="dms:Choice">
          <xsd:enumeration value="Draft"/>
          <xsd:enumeration value="Final"/>
          <xsd:enumeration value="Archived"/>
        </xsd:restriction>
      </xsd:simpleType>
    </xsd:element>
    <xsd:element name="Notes" ma:index="17" nillable="true" ma:displayName="Notes" ma:format="Dropdown" ma:internalName="Notes">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c35ac-a336-4cad-a166-3e96b09a88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42c35ac-a336-4cad-a166-3e96b09a883a">
      <UserInfo>
        <DisplayName>Ida Seifu</DisplayName>
        <AccountId>36</AccountId>
        <AccountType/>
      </UserInfo>
      <UserInfo>
        <DisplayName>Rajat Sharma</DisplayName>
        <AccountId>21</AccountId>
        <AccountType/>
      </UserInfo>
      <UserInfo>
        <DisplayName>Amalia Cook</DisplayName>
        <AccountId>15</AccountId>
        <AccountType/>
      </UserInfo>
    </SharedWithUsers>
    <Month xmlns="4a272bcf-70b1-4323-abaa-3dc5c3077018">November</Month>
    <Draft_x002f_Final xmlns="4a272bcf-70b1-4323-abaa-3dc5c3077018">Final</Draft_x002f_Final>
    <Year xmlns="4a272bcf-70b1-4323-abaa-3dc5c3077018">2023</Year>
    <Notes xmlns="4a272bcf-70b1-4323-abaa-3dc5c3077018">Ready for Board approval</No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3D50C3-3CFD-422A-9DBC-BB26D5E6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2bcf-70b1-4323-abaa-3dc5c3077018"/>
    <ds:schemaRef ds:uri="a42c35ac-a336-4cad-a166-3e96b09a8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B4A2B-2A9F-4006-9CD0-C065973563E1}">
  <ds:schemaRefs>
    <ds:schemaRef ds:uri="http://schemas.microsoft.com/office/2006/metadata/properties"/>
    <ds:schemaRef ds:uri="http://schemas.microsoft.com/office/infopath/2007/PartnerControls"/>
    <ds:schemaRef ds:uri="a42c35ac-a336-4cad-a166-3e96b09a883a"/>
    <ds:schemaRef ds:uri="4a272bcf-70b1-4323-abaa-3dc5c3077018"/>
  </ds:schemaRefs>
</ds:datastoreItem>
</file>

<file path=customXml/itemProps4.xml><?xml version="1.0" encoding="utf-8"?>
<ds:datastoreItem xmlns:ds="http://schemas.openxmlformats.org/officeDocument/2006/customXml" ds:itemID="{3144E835-24A1-42E9-B0C7-1FC9D66D14F8}">
  <ds:schemaRefs>
    <ds:schemaRef ds:uri="http://schemas.openxmlformats.org/officeDocument/2006/bibliography"/>
  </ds:schemaRefs>
</ds:datastoreItem>
</file>

<file path=customXml/itemProps5.xml><?xml version="1.0" encoding="utf-8"?>
<ds:datastoreItem xmlns:ds="http://schemas.openxmlformats.org/officeDocument/2006/customXml" ds:itemID="{74DF0407-9B52-4E7A-B6AF-81ECC2DE5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1301</Words>
  <Characters>7732</Characters>
  <Application>Microsoft Office Word</Application>
  <DocSecurity>0</DocSecurity>
  <Lines>113</Lines>
  <Paragraphs>35</Paragraphs>
  <ScaleCrop>false</ScaleCrop>
  <HeadingPairs>
    <vt:vector size="2" baseType="variant">
      <vt:variant>
        <vt:lpstr>Title</vt:lpstr>
      </vt:variant>
      <vt:variant>
        <vt:i4>1</vt:i4>
      </vt:variant>
    </vt:vector>
  </HeadingPairs>
  <TitlesOfParts>
    <vt:vector size="1" baseType="lpstr">
      <vt:lpstr>director, Governance and General Counsel</vt:lpstr>
    </vt:vector>
  </TitlesOfParts>
  <Manager>Bernie Miller</Manager>
  <Company/>
  <LinksUpToDate>false</LinksUpToDate>
  <CharactersWithSpaces>9005</CharactersWithSpaces>
  <SharedDoc>false</SharedDoc>
  <HLinks>
    <vt:vector size="36" baseType="variant">
      <vt:variant>
        <vt:i4>3342458</vt:i4>
      </vt:variant>
      <vt:variant>
        <vt:i4>33</vt:i4>
      </vt:variant>
      <vt:variant>
        <vt:i4>0</vt:i4>
      </vt:variant>
      <vt:variant>
        <vt:i4>5</vt:i4>
      </vt:variant>
      <vt:variant>
        <vt:lpwstr>https://mitacs.sharepoint.com/sites/grp-admin-corpgovernance/Policy Process Documents/Creating a new policy/NA</vt:lpwstr>
      </vt:variant>
      <vt:variant>
        <vt:lpwstr/>
      </vt:variant>
      <vt:variant>
        <vt:i4>1900601</vt:i4>
      </vt:variant>
      <vt:variant>
        <vt:i4>26</vt:i4>
      </vt:variant>
      <vt:variant>
        <vt:i4>0</vt:i4>
      </vt:variant>
      <vt:variant>
        <vt:i4>5</vt:i4>
      </vt:variant>
      <vt:variant>
        <vt:lpwstr/>
      </vt:variant>
      <vt:variant>
        <vt:lpwstr>_Toc135983530</vt:lpwstr>
      </vt:variant>
      <vt:variant>
        <vt:i4>1835065</vt:i4>
      </vt:variant>
      <vt:variant>
        <vt:i4>20</vt:i4>
      </vt:variant>
      <vt:variant>
        <vt:i4>0</vt:i4>
      </vt:variant>
      <vt:variant>
        <vt:i4>5</vt:i4>
      </vt:variant>
      <vt:variant>
        <vt:lpwstr/>
      </vt:variant>
      <vt:variant>
        <vt:lpwstr>_Toc135983529</vt:lpwstr>
      </vt:variant>
      <vt:variant>
        <vt:i4>1835065</vt:i4>
      </vt:variant>
      <vt:variant>
        <vt:i4>14</vt:i4>
      </vt:variant>
      <vt:variant>
        <vt:i4>0</vt:i4>
      </vt:variant>
      <vt:variant>
        <vt:i4>5</vt:i4>
      </vt:variant>
      <vt:variant>
        <vt:lpwstr/>
      </vt:variant>
      <vt:variant>
        <vt:lpwstr>_Toc135983528</vt:lpwstr>
      </vt:variant>
      <vt:variant>
        <vt:i4>1835065</vt:i4>
      </vt:variant>
      <vt:variant>
        <vt:i4>8</vt:i4>
      </vt:variant>
      <vt:variant>
        <vt:i4>0</vt:i4>
      </vt:variant>
      <vt:variant>
        <vt:i4>5</vt:i4>
      </vt:variant>
      <vt:variant>
        <vt:lpwstr/>
      </vt:variant>
      <vt:variant>
        <vt:lpwstr>_Toc135983527</vt:lpwstr>
      </vt:variant>
      <vt:variant>
        <vt:i4>1835065</vt:i4>
      </vt:variant>
      <vt:variant>
        <vt:i4>2</vt:i4>
      </vt:variant>
      <vt:variant>
        <vt:i4>0</vt:i4>
      </vt:variant>
      <vt:variant>
        <vt:i4>5</vt:i4>
      </vt:variant>
      <vt:variant>
        <vt:lpwstr/>
      </vt:variant>
      <vt:variant>
        <vt:lpwstr>_Toc135983526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Governance and General Counsel</dc:title>
  <dc:subject/>
  <dc:creator>Janet James</dc:creator>
  <cp:keywords/>
  <dc:description/>
  <cp:lastModifiedBy>Amalia Cook</cp:lastModifiedBy>
  <cp:revision>9</cp:revision>
  <cp:lastPrinted>2023-11-24T16:26:00Z</cp:lastPrinted>
  <dcterms:created xsi:type="dcterms:W3CDTF">2023-12-11T19:44:00Z</dcterms:created>
  <dcterms:modified xsi:type="dcterms:W3CDTF">2023-12-12T17:41:00Z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0x010100F45CFFF77272434AB92BAE19A1C50F4E</vt:lpwstr>
  </property>
  <property fmtid="{D5CDD505-2E9C-101B-9397-08002B2CF9AE}" pid="3" name="GrammarlyDocumentId">
    <vt:lpwstr>95ad0af48027723cb3c0ed6c2a8cab9935241d8764ba4395fe11ac69865d9e41</vt:lpwstr>
  </property>
  <property fmtid="{D5CDD505-2E9C-101B-9397-08002B2CF9AE}" pid="4" name="MediaServiceImageTags">
    <vt:lpwstr/>
  </property>
  <property fmtid="{D5CDD505-2E9C-101B-9397-08002B2CF9AE}" pid="5" name="Order">
    <vt:r8>1842800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